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ind w:left="0" w:firstLine="0"/>
        <w:jc w:val="left"/>
        <w:rPr>
          <w:sz w:val="2"/>
        </w:rPr>
      </w:pPr>
    </w:p>
    <w:tbl>
      <w:tblPr>
        <w:tblW w:w="0" w:type="auto"/>
        <w:jc w:val="left"/>
        <w:tblInd w:w="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94"/>
        <w:gridCol w:w="6491"/>
        <w:gridCol w:w="2430"/>
      </w:tblGrid>
      <w:tr>
        <w:trPr>
          <w:trHeight w:val="1403" w:hRule="atLeast"/>
        </w:trPr>
        <w:tc>
          <w:tcPr>
            <w:tcW w:w="1694" w:type="dxa"/>
            <w:tcBorders>
              <w:bottom w:val="single" w:sz="6" w:space="0" w:color="808080"/>
            </w:tcBorders>
          </w:tcPr>
          <w:p>
            <w:pPr>
              <w:pStyle w:val="TableParagraph"/>
              <w:spacing w:before="1"/>
              <w:jc w:val="left"/>
              <w:rPr>
                <w:sz w:val="8"/>
              </w:rPr>
            </w:pPr>
          </w:p>
          <w:p>
            <w:pPr>
              <w:pStyle w:val="TableParagraph"/>
              <w:spacing w:before="0"/>
              <w:ind w:left="202"/>
              <w:jc w:val="left"/>
              <w:rPr>
                <w:sz w:val="20"/>
              </w:rPr>
            </w:pPr>
            <w:r>
              <w:rPr>
                <w:sz w:val="20"/>
              </w:rPr>
              <w:drawing>
                <wp:inline distT="0" distB="0" distL="0" distR="0">
                  <wp:extent cx="845025" cy="763524"/>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845025" cy="763524"/>
                          </a:xfrm>
                          <a:prstGeom prst="rect">
                            <a:avLst/>
                          </a:prstGeom>
                        </pic:spPr>
                      </pic:pic>
                    </a:graphicData>
                  </a:graphic>
                </wp:inline>
              </w:drawing>
            </w:r>
            <w:r>
              <w:rPr>
                <w:sz w:val="20"/>
              </w:rPr>
            </w:r>
          </w:p>
        </w:tc>
        <w:tc>
          <w:tcPr>
            <w:tcW w:w="6491" w:type="dxa"/>
            <w:tcBorders>
              <w:bottom w:val="single" w:sz="6" w:space="0" w:color="808080"/>
            </w:tcBorders>
          </w:tcPr>
          <w:p>
            <w:pPr>
              <w:pStyle w:val="TableParagraph"/>
              <w:spacing w:before="278"/>
              <w:ind w:left="75" w:right="612"/>
              <w:jc w:val="left"/>
              <w:rPr>
                <w:b/>
                <w:sz w:val="36"/>
              </w:rPr>
            </w:pPr>
            <w:r>
              <w:rPr>
                <w:b/>
                <w:color w:val="222222"/>
                <w:sz w:val="36"/>
              </w:rPr>
              <w:t>Journal</w:t>
            </w:r>
            <w:r>
              <w:rPr>
                <w:b/>
                <w:color w:val="222222"/>
                <w:spacing w:val="-9"/>
                <w:sz w:val="36"/>
              </w:rPr>
              <w:t> </w:t>
            </w:r>
            <w:r>
              <w:rPr>
                <w:b/>
                <w:color w:val="222222"/>
                <w:sz w:val="36"/>
              </w:rPr>
              <w:t>of</w:t>
            </w:r>
            <w:r>
              <w:rPr>
                <w:b/>
                <w:color w:val="222222"/>
                <w:spacing w:val="-9"/>
                <w:sz w:val="36"/>
              </w:rPr>
              <w:t> </w:t>
            </w:r>
            <w:r>
              <w:rPr>
                <w:b/>
                <w:color w:val="222222"/>
                <w:sz w:val="36"/>
              </w:rPr>
              <w:t>Computing</w:t>
            </w:r>
            <w:r>
              <w:rPr>
                <w:b/>
                <w:color w:val="222222"/>
                <w:spacing w:val="-9"/>
                <w:sz w:val="36"/>
              </w:rPr>
              <w:t> </w:t>
            </w:r>
            <w:r>
              <w:rPr>
                <w:b/>
                <w:color w:val="222222"/>
                <w:sz w:val="36"/>
              </w:rPr>
              <w:t>and</w:t>
            </w:r>
            <w:r>
              <w:rPr>
                <w:b/>
                <w:color w:val="222222"/>
                <w:spacing w:val="-11"/>
                <w:sz w:val="36"/>
              </w:rPr>
              <w:t> </w:t>
            </w:r>
            <w:r>
              <w:rPr>
                <w:b/>
                <w:color w:val="222222"/>
                <w:sz w:val="36"/>
              </w:rPr>
              <w:t>Numerical </w:t>
            </w:r>
            <w:r>
              <w:rPr>
                <w:b/>
                <w:color w:val="222222"/>
                <w:spacing w:val="-2"/>
                <w:sz w:val="36"/>
              </w:rPr>
              <w:t>Sciences</w:t>
            </w:r>
          </w:p>
        </w:tc>
        <w:tc>
          <w:tcPr>
            <w:tcW w:w="2430" w:type="dxa"/>
            <w:tcBorders>
              <w:bottom w:val="single" w:sz="6" w:space="0" w:color="808080"/>
            </w:tcBorders>
          </w:tcPr>
          <w:p>
            <w:pPr>
              <w:pStyle w:val="TableParagraph"/>
              <w:spacing w:before="55"/>
              <w:jc w:val="left"/>
              <w:rPr>
                <w:sz w:val="17"/>
              </w:rPr>
            </w:pPr>
          </w:p>
          <w:p>
            <w:pPr>
              <w:pStyle w:val="TableParagraph"/>
              <w:spacing w:line="182" w:lineRule="exact" w:before="1"/>
              <w:ind w:left="284" w:right="1"/>
              <w:rPr>
                <w:b/>
                <w:sz w:val="17"/>
              </w:rPr>
            </w:pPr>
            <w:r>
              <w:rPr>
                <w:b/>
                <w:color w:val="1F4E79"/>
                <w:sz w:val="17"/>
              </w:rPr>
              <w:t>VOL:</w:t>
            </w:r>
            <w:r>
              <w:rPr>
                <w:b/>
                <w:color w:val="1F4E79"/>
                <w:spacing w:val="-1"/>
                <w:sz w:val="17"/>
              </w:rPr>
              <w:t> </w:t>
            </w:r>
            <w:r>
              <w:rPr>
                <w:b/>
                <w:color w:val="1F4E79"/>
                <w:sz w:val="17"/>
              </w:rPr>
              <w:t>01</w:t>
            </w:r>
            <w:r>
              <w:rPr>
                <w:b/>
                <w:color w:val="1F4E79"/>
                <w:spacing w:val="39"/>
                <w:sz w:val="17"/>
              </w:rPr>
              <w:t> </w:t>
            </w:r>
            <w:r>
              <w:rPr>
                <w:b/>
                <w:color w:val="1F4E79"/>
                <w:sz w:val="17"/>
              </w:rPr>
              <w:t>ISSUE:</w:t>
            </w:r>
            <w:r>
              <w:rPr>
                <w:b/>
                <w:color w:val="1F4E79"/>
                <w:spacing w:val="-1"/>
                <w:sz w:val="17"/>
              </w:rPr>
              <w:t> </w:t>
            </w:r>
            <w:r>
              <w:rPr>
                <w:b/>
                <w:color w:val="1F4E79"/>
                <w:spacing w:val="-5"/>
                <w:sz w:val="17"/>
              </w:rPr>
              <w:t>01</w:t>
            </w:r>
          </w:p>
          <w:p>
            <w:pPr>
              <w:pStyle w:val="TableParagraph"/>
              <w:spacing w:line="167" w:lineRule="exact" w:before="0"/>
              <w:ind w:left="284"/>
              <w:rPr>
                <w:b/>
                <w:sz w:val="17"/>
              </w:rPr>
            </w:pPr>
            <w:r>
              <w:rPr>
                <w:b/>
                <w:color w:val="1F4E79"/>
                <w:spacing w:val="-4"/>
                <w:sz w:val="17"/>
              </w:rPr>
              <w:t>2026</w:t>
            </w:r>
          </w:p>
          <w:p>
            <w:pPr>
              <w:pStyle w:val="TableParagraph"/>
              <w:spacing w:line="135" w:lineRule="exact" w:before="0"/>
              <w:ind w:left="284" w:right="1"/>
              <w:rPr>
                <w:sz w:val="13"/>
              </w:rPr>
            </w:pPr>
            <w:hyperlink r:id="rId7">
              <w:r>
                <w:rPr>
                  <w:color w:val="1F4E79"/>
                  <w:spacing w:val="-2"/>
                  <w:sz w:val="13"/>
                </w:rPr>
                <w:t>https://jcns.gcwuf</w:t>
              </w:r>
            </w:hyperlink>
          </w:p>
          <w:p>
            <w:pPr>
              <w:pStyle w:val="TableParagraph"/>
              <w:spacing w:before="0"/>
              <w:ind w:left="1352" w:right="-15"/>
              <w:jc w:val="left"/>
              <w:rPr>
                <w:sz w:val="20"/>
              </w:rPr>
            </w:pPr>
            <w:r>
              <w:rPr>
                <w:sz w:val="20"/>
              </w:rPr>
              <w:drawing>
                <wp:inline distT="0" distB="0" distL="0" distR="0">
                  <wp:extent cx="661874" cy="242316"/>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61874" cy="242316"/>
                          </a:xfrm>
                          <a:prstGeom prst="rect">
                            <a:avLst/>
                          </a:prstGeom>
                        </pic:spPr>
                      </pic:pic>
                    </a:graphicData>
                  </a:graphic>
                </wp:inline>
              </w:drawing>
            </w:r>
            <w:r>
              <w:rPr>
                <w:sz w:val="20"/>
              </w:rPr>
            </w:r>
          </w:p>
          <w:p>
            <w:pPr>
              <w:pStyle w:val="TableParagraph"/>
              <w:spacing w:before="55"/>
              <w:jc w:val="left"/>
              <w:rPr>
                <w:sz w:val="20"/>
              </w:rPr>
            </w:pPr>
          </w:p>
        </w:tc>
      </w:tr>
    </w:tbl>
    <w:p>
      <w:pPr>
        <w:spacing w:before="109"/>
        <w:ind w:left="81" w:right="0" w:firstLine="0"/>
        <w:jc w:val="left"/>
        <w:rPr>
          <w:i/>
          <w:sz w:val="20"/>
        </w:rPr>
      </w:pPr>
      <w:r>
        <w:rPr>
          <w:i/>
          <w:spacing w:val="-2"/>
          <w:sz w:val="20"/>
        </w:rPr>
        <w:t>Article</w:t>
      </w:r>
    </w:p>
    <w:p>
      <w:pPr>
        <w:pStyle w:val="Heading1"/>
      </w:pPr>
      <w:r>
        <w:rPr/>
        <w:t>CASH</w:t>
      </w:r>
      <w:r>
        <w:rPr>
          <w:spacing w:val="-8"/>
        </w:rPr>
        <w:t> </w:t>
      </w:r>
      <w:r>
        <w:rPr/>
        <w:t>FLOW</w:t>
      </w:r>
      <w:r>
        <w:rPr>
          <w:spacing w:val="-8"/>
        </w:rPr>
        <w:t> </w:t>
      </w:r>
      <w:r>
        <w:rPr/>
        <w:t>ACCOUNTING</w:t>
      </w:r>
      <w:r>
        <w:rPr>
          <w:spacing w:val="-8"/>
        </w:rPr>
        <w:t> </w:t>
      </w:r>
      <w:r>
        <w:rPr/>
        <w:t>REPORTING</w:t>
      </w:r>
      <w:r>
        <w:rPr>
          <w:spacing w:val="-8"/>
        </w:rPr>
        <w:t> </w:t>
      </w:r>
      <w:r>
        <w:rPr/>
        <w:t>AND</w:t>
      </w:r>
      <w:r>
        <w:rPr>
          <w:spacing w:val="-10"/>
        </w:rPr>
        <w:t> </w:t>
      </w:r>
      <w:r>
        <w:rPr/>
        <w:t>MARKET VALUATION OF SELECTED MULTINATIONAL COMPANIES IN SEVEN SUB-SAHARAN AFRICAN </w:t>
      </w:r>
      <w:r>
        <w:rPr>
          <w:spacing w:val="-2"/>
        </w:rPr>
        <w:t>COUNTRIES</w:t>
      </w:r>
    </w:p>
    <w:p>
      <w:pPr>
        <w:pStyle w:val="Heading2"/>
        <w:spacing w:line="391" w:lineRule="auto" w:before="161"/>
        <w:ind w:left="81" w:right="3858" w:firstLine="0"/>
      </w:pPr>
      <w:r>
        <w:rPr>
          <w:color w:val="000000"/>
          <w:highlight w:val="yellow"/>
        </w:rPr>
        <w:t>Egbere</w:t>
      </w:r>
      <w:r>
        <w:rPr>
          <w:color w:val="000000"/>
          <w:spacing w:val="-6"/>
          <w:highlight w:val="yellow"/>
        </w:rPr>
        <w:t> </w:t>
      </w:r>
      <w:r>
        <w:rPr>
          <w:color w:val="000000"/>
          <w:highlight w:val="yellow"/>
        </w:rPr>
        <w:t>Michael</w:t>
      </w:r>
      <w:r>
        <w:rPr>
          <w:color w:val="000000"/>
          <w:spacing w:val="-6"/>
          <w:highlight w:val="yellow"/>
        </w:rPr>
        <w:t> </w:t>
      </w:r>
      <w:r>
        <w:rPr>
          <w:color w:val="000000"/>
          <w:highlight w:val="yellow"/>
        </w:rPr>
        <w:t>Ikechukwu,</w:t>
      </w:r>
      <w:r>
        <w:rPr>
          <w:color w:val="000000"/>
          <w:spacing w:val="-4"/>
          <w:highlight w:val="yellow"/>
        </w:rPr>
        <w:t> </w:t>
      </w:r>
      <w:r>
        <w:rPr>
          <w:color w:val="000000"/>
          <w:highlight w:val="yellow"/>
        </w:rPr>
        <w:t>PhD</w:t>
      </w:r>
      <w:r>
        <w:rPr>
          <w:color w:val="000000"/>
          <w:spacing w:val="-6"/>
          <w:highlight w:val="yellow"/>
        </w:rPr>
        <w:t> </w:t>
      </w:r>
      <w:r>
        <w:rPr>
          <w:color w:val="000000"/>
          <w:highlight w:val="yellow"/>
        </w:rPr>
        <w:t>and</w:t>
      </w:r>
      <w:r>
        <w:rPr>
          <w:color w:val="000000"/>
          <w:spacing w:val="-5"/>
          <w:highlight w:val="yellow"/>
        </w:rPr>
        <w:t> </w:t>
      </w:r>
      <w:r>
        <w:rPr>
          <w:color w:val="000000"/>
          <w:highlight w:val="yellow"/>
        </w:rPr>
        <w:t>Ajayi,</w:t>
      </w:r>
      <w:r>
        <w:rPr>
          <w:color w:val="000000"/>
          <w:spacing w:val="-4"/>
          <w:highlight w:val="yellow"/>
        </w:rPr>
        <w:t> </w:t>
      </w:r>
      <w:r>
        <w:rPr>
          <w:color w:val="000000"/>
          <w:highlight w:val="yellow"/>
        </w:rPr>
        <w:t>Tijjani</w:t>
      </w:r>
      <w:r>
        <w:rPr>
          <w:color w:val="000000"/>
          <w:spacing w:val="-4"/>
          <w:highlight w:val="yellow"/>
        </w:rPr>
        <w:t> </w:t>
      </w:r>
      <w:r>
        <w:rPr>
          <w:color w:val="000000"/>
          <w:highlight w:val="yellow"/>
        </w:rPr>
        <w:t>Ahmed,</w:t>
      </w:r>
      <w:r>
        <w:rPr>
          <w:color w:val="000000"/>
          <w:spacing w:val="-6"/>
          <w:highlight w:val="yellow"/>
        </w:rPr>
        <w:t> </w:t>
      </w:r>
      <w:r>
        <w:rPr>
          <w:color w:val="000000"/>
          <w:highlight w:val="yellow"/>
        </w:rPr>
        <w:t>Ph.D.</w:t>
      </w:r>
      <w:r>
        <w:rPr>
          <w:color w:val="000000"/>
        </w:rPr>
        <w:t> </w:t>
      </w:r>
      <w:r>
        <w:rPr>
          <w:color w:val="000000"/>
          <w:highlight w:val="cyan"/>
        </w:rPr>
        <w:t>Egbere Michael Ikechukwu</w:t>
      </w:r>
      <w:r>
        <w:rPr>
          <w:color w:val="000000"/>
          <w:highlight w:val="cyan"/>
          <w:vertAlign w:val="superscript"/>
        </w:rPr>
        <w:t>1</w:t>
      </w:r>
      <w:r>
        <w:rPr>
          <w:color w:val="000000"/>
          <w:highlight w:val="cyan"/>
          <w:vertAlign w:val="baseline"/>
        </w:rPr>
        <w:t>,</w:t>
      </w:r>
      <w:r>
        <w:rPr>
          <w:color w:val="000000"/>
          <w:spacing w:val="40"/>
          <w:highlight w:val="cyan"/>
          <w:vertAlign w:val="baseline"/>
        </w:rPr>
        <w:t> </w:t>
      </w:r>
      <w:r>
        <w:rPr>
          <w:color w:val="000000"/>
          <w:highlight w:val="cyan"/>
          <w:vertAlign w:val="baseline"/>
        </w:rPr>
        <w:t>and Ajayi, Tijjani Ahmed</w:t>
      </w:r>
      <w:r>
        <w:rPr>
          <w:color w:val="000000"/>
          <w:highlight w:val="cyan"/>
          <w:vertAlign w:val="superscript"/>
        </w:rPr>
        <w:t>2*</w:t>
      </w:r>
      <w:r>
        <w:rPr>
          <w:color w:val="000000"/>
          <w:highlight w:val="cyan"/>
          <w:vertAlign w:val="baseline"/>
        </w:rPr>
        <w:t>.</w:t>
      </w:r>
    </w:p>
    <w:p>
      <w:pPr>
        <w:pStyle w:val="BodyText"/>
        <w:spacing w:before="115"/>
        <w:ind w:left="0" w:firstLine="0"/>
        <w:jc w:val="left"/>
        <w:rPr>
          <w:b/>
          <w:sz w:val="22"/>
        </w:rPr>
      </w:pPr>
    </w:p>
    <w:p>
      <w:pPr>
        <w:pStyle w:val="ListParagraph"/>
        <w:numPr>
          <w:ilvl w:val="0"/>
          <w:numId w:val="1"/>
        </w:numPr>
        <w:tabs>
          <w:tab w:pos="2962" w:val="left" w:leader="none"/>
        </w:tabs>
        <w:spacing w:line="195" w:lineRule="exact" w:before="0" w:after="0"/>
        <w:ind w:left="2962" w:right="0" w:hanging="360"/>
        <w:jc w:val="left"/>
        <w:rPr>
          <w:sz w:val="17"/>
        </w:rPr>
      </w:pPr>
      <w:r>
        <w:rPr>
          <w:sz w:val="17"/>
        </w:rPr>
        <w:t>Department</w:t>
      </w:r>
      <w:r>
        <w:rPr>
          <w:spacing w:val="-4"/>
          <w:sz w:val="17"/>
        </w:rPr>
        <w:t> </w:t>
      </w:r>
      <w:r>
        <w:rPr>
          <w:sz w:val="17"/>
        </w:rPr>
        <w:t>of</w:t>
      </w:r>
      <w:r>
        <w:rPr>
          <w:spacing w:val="-3"/>
          <w:sz w:val="17"/>
        </w:rPr>
        <w:t> </w:t>
      </w:r>
      <w:r>
        <w:rPr>
          <w:sz w:val="17"/>
        </w:rPr>
        <w:t>Accounting,</w:t>
      </w:r>
      <w:r>
        <w:rPr>
          <w:spacing w:val="-6"/>
          <w:sz w:val="17"/>
        </w:rPr>
        <w:t> </w:t>
      </w:r>
      <w:r>
        <w:rPr>
          <w:sz w:val="17"/>
        </w:rPr>
        <w:t>Federal</w:t>
      </w:r>
      <w:r>
        <w:rPr>
          <w:spacing w:val="-6"/>
          <w:sz w:val="17"/>
        </w:rPr>
        <w:t> </w:t>
      </w:r>
      <w:r>
        <w:rPr>
          <w:sz w:val="17"/>
        </w:rPr>
        <w:t>University</w:t>
      </w:r>
      <w:r>
        <w:rPr>
          <w:spacing w:val="-5"/>
          <w:sz w:val="17"/>
        </w:rPr>
        <w:t> </w:t>
      </w:r>
      <w:r>
        <w:rPr>
          <w:sz w:val="17"/>
        </w:rPr>
        <w:t>of</w:t>
      </w:r>
      <w:r>
        <w:rPr>
          <w:spacing w:val="-3"/>
          <w:sz w:val="17"/>
        </w:rPr>
        <w:t> </w:t>
      </w:r>
      <w:r>
        <w:rPr>
          <w:spacing w:val="-4"/>
          <w:sz w:val="17"/>
        </w:rPr>
        <w:t>Lafia</w:t>
      </w:r>
    </w:p>
    <w:p>
      <w:pPr>
        <w:pStyle w:val="ListParagraph"/>
        <w:numPr>
          <w:ilvl w:val="0"/>
          <w:numId w:val="1"/>
        </w:numPr>
        <w:tabs>
          <w:tab w:pos="2962" w:val="left" w:leader="none"/>
        </w:tabs>
        <w:spacing w:line="207" w:lineRule="exact" w:before="0" w:after="0"/>
        <w:ind w:left="2962" w:right="0" w:hanging="360"/>
        <w:jc w:val="left"/>
        <w:rPr>
          <w:sz w:val="18"/>
        </w:rPr>
      </w:pPr>
      <w:r>
        <w:rPr>
          <w:color w:val="000000"/>
          <w:sz w:val="18"/>
          <w:highlight w:val="cyan"/>
        </w:rPr>
        <w:t>Department</w:t>
      </w:r>
      <w:r>
        <w:rPr>
          <w:color w:val="000000"/>
          <w:spacing w:val="-3"/>
          <w:sz w:val="18"/>
          <w:highlight w:val="cyan"/>
        </w:rPr>
        <w:t> </w:t>
      </w:r>
      <w:r>
        <w:rPr>
          <w:color w:val="000000"/>
          <w:sz w:val="18"/>
          <w:highlight w:val="cyan"/>
        </w:rPr>
        <w:t>of</w:t>
      </w:r>
      <w:r>
        <w:rPr>
          <w:color w:val="000000"/>
          <w:spacing w:val="-3"/>
          <w:sz w:val="18"/>
          <w:highlight w:val="cyan"/>
        </w:rPr>
        <w:t> </w:t>
      </w:r>
      <w:r>
        <w:rPr>
          <w:color w:val="000000"/>
          <w:sz w:val="18"/>
          <w:highlight w:val="cyan"/>
        </w:rPr>
        <w:t>Mathematics</w:t>
      </w:r>
      <w:r>
        <w:rPr>
          <w:color w:val="000000"/>
          <w:spacing w:val="-1"/>
          <w:sz w:val="18"/>
          <w:highlight w:val="cyan"/>
        </w:rPr>
        <w:t> </w:t>
      </w:r>
      <w:r>
        <w:rPr>
          <w:color w:val="000000"/>
          <w:spacing w:val="-2"/>
          <w:sz w:val="18"/>
          <w:highlight w:val="cyan"/>
        </w:rPr>
        <w:t>GCWUF</w:t>
      </w:r>
    </w:p>
    <w:p>
      <w:pPr>
        <w:pStyle w:val="BodyText"/>
        <w:spacing w:before="179"/>
        <w:ind w:left="2602" w:firstLine="0"/>
        <w:jc w:val="left"/>
      </w:pPr>
      <w:r>
        <w:rPr>
          <w:color w:val="000000"/>
          <w:highlight w:val="cyan"/>
        </w:rPr>
        <w:t>*</w:t>
      </w:r>
      <w:r>
        <w:rPr>
          <w:color w:val="000000"/>
          <w:spacing w:val="-3"/>
          <w:highlight w:val="cyan"/>
        </w:rPr>
        <w:t> </w:t>
      </w:r>
      <w:r>
        <w:rPr>
          <w:color w:val="000000"/>
          <w:highlight w:val="cyan"/>
        </w:rPr>
        <w:t>Correspondence:</w:t>
      </w:r>
      <w:r>
        <w:rPr>
          <w:color w:val="000000"/>
          <w:spacing w:val="-2"/>
          <w:highlight w:val="cyan"/>
        </w:rPr>
        <w:t> </w:t>
      </w:r>
      <w:r>
        <w:rPr>
          <w:color w:val="000000"/>
          <w:highlight w:val="cyan"/>
        </w:rPr>
        <w:t>Email:</w:t>
      </w:r>
      <w:r>
        <w:rPr>
          <w:color w:val="000000"/>
          <w:spacing w:val="-2"/>
          <w:highlight w:val="cyan"/>
        </w:rPr>
        <w:t> </w:t>
      </w:r>
      <w:hyperlink r:id="rId9">
        <w:r>
          <w:rPr>
            <w:color w:val="000000"/>
            <w:highlight w:val="cyan"/>
          </w:rPr>
          <w:t>mali@eu.edu.sa</w:t>
        </w:r>
      </w:hyperlink>
      <w:r>
        <w:rPr>
          <w:color w:val="000000"/>
          <w:highlight w:val="cyan"/>
        </w:rPr>
        <w:t>;</w:t>
      </w:r>
      <w:r>
        <w:rPr>
          <w:color w:val="000000"/>
          <w:spacing w:val="-4"/>
          <w:highlight w:val="cyan"/>
        </w:rPr>
        <w:t> </w:t>
      </w:r>
      <w:r>
        <w:rPr>
          <w:color w:val="000000"/>
          <w:highlight w:val="cyan"/>
        </w:rPr>
        <w:t>Tel:</w:t>
      </w:r>
      <w:r>
        <w:rPr>
          <w:color w:val="000000"/>
          <w:spacing w:val="-1"/>
          <w:highlight w:val="cyan"/>
        </w:rPr>
        <w:t> </w:t>
      </w:r>
      <w:r>
        <w:rPr>
          <w:color w:val="000000"/>
          <w:spacing w:val="-2"/>
          <w:highlight w:val="cyan"/>
        </w:rPr>
        <w:t>+9660478923399</w:t>
      </w:r>
      <w:r>
        <w:rPr>
          <w:color w:val="000000"/>
          <w:spacing w:val="-2"/>
        </w:rPr>
        <w:t>.</w:t>
      </w:r>
    </w:p>
    <w:p>
      <w:pPr>
        <w:pStyle w:val="BodyText"/>
        <w:ind w:left="0" w:firstLine="0"/>
        <w:jc w:val="left"/>
        <w:rPr>
          <w:sz w:val="12"/>
        </w:rPr>
      </w:pPr>
    </w:p>
    <w:p>
      <w:pPr>
        <w:pStyle w:val="BodyText"/>
        <w:spacing w:after="0"/>
        <w:jc w:val="left"/>
        <w:rPr>
          <w:sz w:val="12"/>
        </w:rPr>
        <w:sectPr>
          <w:footerReference w:type="default" r:id="rId5"/>
          <w:type w:val="continuous"/>
          <w:pgSz w:w="11910" w:h="16840"/>
          <w:pgMar w:header="0" w:footer="301" w:top="420" w:bottom="500" w:left="566" w:right="566"/>
          <w:pgNumType w:start="1"/>
        </w:sectPr>
      </w:pPr>
    </w:p>
    <w:p>
      <w:pPr>
        <w:pStyle w:val="BodyText"/>
        <w:ind w:left="0" w:firstLine="0"/>
        <w:jc w:val="left"/>
        <w:rPr>
          <w:sz w:val="14"/>
        </w:rPr>
      </w:pPr>
      <w:r>
        <w:rPr>
          <w:sz w:val="14"/>
        </w:rPr>
        <mc:AlternateContent>
          <mc:Choice Requires="wps">
            <w:drawing>
              <wp:anchor distT="0" distB="0" distL="0" distR="0" allowOverlap="1" layoutInCell="1" locked="0" behindDoc="0" simplePos="0" relativeHeight="15729152">
                <wp:simplePos x="0" y="0"/>
                <wp:positionH relativeFrom="page">
                  <wp:posOffset>466344</wp:posOffset>
                </wp:positionH>
                <wp:positionV relativeFrom="page">
                  <wp:posOffset>10492752</wp:posOffset>
                </wp:positionV>
                <wp:extent cx="6631305" cy="63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631305" cy="6350"/>
                        </a:xfrm>
                        <a:custGeom>
                          <a:avLst/>
                          <a:gdLst/>
                          <a:ahLst/>
                          <a:cxnLst/>
                          <a:rect l="l" t="t" r="r" b="b"/>
                          <a:pathLst>
                            <a:path w="6631305" h="6350">
                              <a:moveTo>
                                <a:pt x="6630924" y="0"/>
                              </a:moveTo>
                              <a:lnTo>
                                <a:pt x="4298569" y="0"/>
                              </a:lnTo>
                              <a:lnTo>
                                <a:pt x="0" y="0"/>
                              </a:lnTo>
                              <a:lnTo>
                                <a:pt x="0" y="6083"/>
                              </a:lnTo>
                              <a:lnTo>
                                <a:pt x="4298569" y="6083"/>
                              </a:lnTo>
                              <a:lnTo>
                                <a:pt x="6630924" y="6083"/>
                              </a:lnTo>
                              <a:lnTo>
                                <a:pt x="6630924" y="0"/>
                              </a:lnTo>
                              <a:close/>
                            </a:path>
                          </a:pathLst>
                        </a:custGeom>
                        <a:solidFill>
                          <a:srgbClr val="777777"/>
                        </a:solidFill>
                      </wps:spPr>
                      <wps:bodyPr wrap="square" lIns="0" tIns="0" rIns="0" bIns="0" rtlCol="0">
                        <a:prstTxWarp prst="textNoShape">
                          <a:avLst/>
                        </a:prstTxWarp>
                        <a:noAutofit/>
                      </wps:bodyPr>
                    </wps:wsp>
                  </a:graphicData>
                </a:graphic>
              </wp:anchor>
            </w:drawing>
          </mc:Choice>
          <mc:Fallback>
            <w:pict>
              <v:shape style="position:absolute;margin-left:36.720001pt;margin-top:826.200989pt;width:522.15pt;height:.5pt;mso-position-horizontal-relative:page;mso-position-vertical-relative:page;z-index:15729152" id="docshape3" coordorigin="734,16524" coordsize="10443,10" path="m11177,16524l7504,16524,734,16524,734,16534,7504,16534,11177,16534,11177,16524xe" filled="true" fillcolor="#777777" stroked="false">
                <v:path arrowok="t"/>
                <v:fill type="solid"/>
                <w10:wrap type="none"/>
              </v:shape>
            </w:pict>
          </mc:Fallback>
        </mc:AlternateContent>
      </w:r>
    </w:p>
    <w:p>
      <w:pPr>
        <w:pStyle w:val="BodyText"/>
        <w:spacing w:before="76"/>
        <w:ind w:left="0" w:firstLine="0"/>
        <w:jc w:val="left"/>
        <w:rPr>
          <w:sz w:val="14"/>
        </w:rPr>
      </w:pPr>
    </w:p>
    <w:p>
      <w:pPr>
        <w:spacing w:before="0"/>
        <w:ind w:left="168" w:right="0" w:firstLine="0"/>
        <w:jc w:val="left"/>
        <w:rPr>
          <w:sz w:val="14"/>
        </w:rPr>
      </w:pPr>
      <w:r>
        <w:rPr>
          <w:b/>
          <w:sz w:val="14"/>
        </w:rPr>
        <w:t>Citation:</w:t>
      </w:r>
      <w:r>
        <w:rPr>
          <w:b/>
          <w:spacing w:val="-6"/>
          <w:sz w:val="14"/>
        </w:rPr>
        <w:t> </w:t>
      </w:r>
      <w:r>
        <w:rPr>
          <w:sz w:val="14"/>
        </w:rPr>
        <w:t>Ikechukwu,</w:t>
      </w:r>
      <w:r>
        <w:rPr>
          <w:spacing w:val="-4"/>
          <w:sz w:val="14"/>
        </w:rPr>
        <w:t> </w:t>
      </w:r>
      <w:r>
        <w:rPr>
          <w:sz w:val="14"/>
        </w:rPr>
        <w:t>E.M.;</w:t>
      </w:r>
      <w:r>
        <w:rPr>
          <w:spacing w:val="-6"/>
          <w:sz w:val="14"/>
        </w:rPr>
        <w:t> </w:t>
      </w:r>
      <w:r>
        <w:rPr>
          <w:spacing w:val="-2"/>
          <w:sz w:val="14"/>
        </w:rPr>
        <w:t>Ahmed,</w:t>
      </w:r>
    </w:p>
    <w:p>
      <w:pPr>
        <w:spacing w:line="240" w:lineRule="auto" w:before="0"/>
        <w:ind w:left="168" w:right="6" w:firstLine="0"/>
        <w:jc w:val="left"/>
        <w:rPr>
          <w:sz w:val="14"/>
        </w:rPr>
      </w:pPr>
      <w:r>
        <w:rPr>
          <w:sz w:val="14"/>
        </w:rPr>
        <w:t>A.T. Cash Flow Accounting</w:t>
      </w:r>
      <w:r>
        <w:rPr>
          <w:spacing w:val="40"/>
          <w:sz w:val="14"/>
        </w:rPr>
        <w:t> </w:t>
      </w:r>
      <w:r>
        <w:rPr>
          <w:sz w:val="14"/>
        </w:rPr>
        <w:t>Reporting and Market Valuation of</w:t>
      </w:r>
      <w:r>
        <w:rPr>
          <w:spacing w:val="40"/>
          <w:sz w:val="14"/>
        </w:rPr>
        <w:t> </w:t>
      </w:r>
      <w:r>
        <w:rPr>
          <w:sz w:val="14"/>
        </w:rPr>
        <w:t>Selected Multinational Companies in</w:t>
      </w:r>
      <w:r>
        <w:rPr>
          <w:spacing w:val="40"/>
          <w:sz w:val="14"/>
        </w:rPr>
        <w:t> </w:t>
      </w:r>
      <w:r>
        <w:rPr>
          <w:sz w:val="14"/>
        </w:rPr>
        <w:t>Seven</w:t>
      </w:r>
      <w:r>
        <w:rPr>
          <w:spacing w:val="-9"/>
          <w:sz w:val="14"/>
        </w:rPr>
        <w:t> </w:t>
      </w:r>
      <w:r>
        <w:rPr>
          <w:sz w:val="14"/>
        </w:rPr>
        <w:t>Sub-Saharan</w:t>
      </w:r>
      <w:r>
        <w:rPr>
          <w:spacing w:val="-9"/>
          <w:sz w:val="14"/>
        </w:rPr>
        <w:t> </w:t>
      </w:r>
      <w:r>
        <w:rPr>
          <w:sz w:val="14"/>
        </w:rPr>
        <w:t>African</w:t>
      </w:r>
      <w:r>
        <w:rPr>
          <w:spacing w:val="-9"/>
          <w:sz w:val="14"/>
        </w:rPr>
        <w:t> </w:t>
      </w:r>
      <w:r>
        <w:rPr>
          <w:sz w:val="14"/>
        </w:rPr>
        <w:t>Countries.</w:t>
      </w:r>
      <w:r>
        <w:rPr>
          <w:spacing w:val="40"/>
          <w:sz w:val="14"/>
        </w:rPr>
        <w:t> </w:t>
      </w:r>
      <w:r>
        <w:rPr>
          <w:sz w:val="14"/>
        </w:rPr>
        <w:t>Journal of Computing and Numerical</w:t>
      </w:r>
      <w:r>
        <w:rPr>
          <w:spacing w:val="40"/>
          <w:sz w:val="14"/>
        </w:rPr>
        <w:t> </w:t>
      </w:r>
      <w:r>
        <w:rPr>
          <w:sz w:val="14"/>
        </w:rPr>
        <w:t>Sciences 2026, 1(1), xx-xx.</w:t>
      </w:r>
    </w:p>
    <w:p>
      <w:pPr>
        <w:spacing w:line="220" w:lineRule="atLeast" w:before="3"/>
        <w:ind w:left="168" w:right="1001" w:firstLine="0"/>
        <w:jc w:val="left"/>
        <w:rPr>
          <w:sz w:val="14"/>
        </w:rPr>
      </w:pPr>
      <w:r>
        <w:rPr>
          <w:sz w:val="14"/>
        </w:rPr>
        <w:t>Academic</w:t>
      </w:r>
      <w:r>
        <w:rPr>
          <w:spacing w:val="-9"/>
          <w:sz w:val="14"/>
        </w:rPr>
        <w:t> </w:t>
      </w:r>
      <w:r>
        <w:rPr>
          <w:sz w:val="14"/>
        </w:rPr>
        <w:t>Editor:</w:t>
      </w:r>
      <w:r>
        <w:rPr>
          <w:spacing w:val="-9"/>
          <w:sz w:val="14"/>
        </w:rPr>
        <w:t> </w:t>
      </w:r>
      <w:r>
        <w:rPr>
          <w:sz w:val="14"/>
        </w:rPr>
        <w:t>—</w:t>
      </w:r>
      <w:r>
        <w:rPr>
          <w:spacing w:val="40"/>
          <w:sz w:val="14"/>
        </w:rPr>
        <w:t> </w:t>
      </w:r>
      <w:r>
        <w:rPr>
          <w:sz w:val="14"/>
        </w:rPr>
        <w:t>Received:</w:t>
      </w:r>
      <w:r>
        <w:rPr>
          <w:spacing w:val="-2"/>
          <w:sz w:val="14"/>
        </w:rPr>
        <w:t> </w:t>
      </w:r>
      <w:r>
        <w:rPr>
          <w:sz w:val="14"/>
        </w:rPr>
        <w:t>—</w:t>
      </w:r>
    </w:p>
    <w:p>
      <w:pPr>
        <w:spacing w:before="0"/>
        <w:ind w:left="168" w:right="1401" w:firstLine="0"/>
        <w:jc w:val="left"/>
        <w:rPr>
          <w:sz w:val="14"/>
        </w:rPr>
      </w:pPr>
      <w:r>
        <w:rPr>
          <w:sz w:val="14"/>
        </w:rPr>
        <w:t>Revised:</w:t>
      </w:r>
      <w:r>
        <w:rPr>
          <w:spacing w:val="-2"/>
          <w:sz w:val="14"/>
        </w:rPr>
        <w:t> </w:t>
      </w:r>
      <w:r>
        <w:rPr>
          <w:sz w:val="14"/>
        </w:rPr>
        <w:t>—</w:t>
      </w:r>
      <w:r>
        <w:rPr>
          <w:spacing w:val="40"/>
          <w:sz w:val="14"/>
        </w:rPr>
        <w:t> </w:t>
      </w:r>
      <w:r>
        <w:rPr>
          <w:sz w:val="14"/>
        </w:rPr>
        <w:t>Accepted:</w:t>
      </w:r>
      <w:r>
        <w:rPr>
          <w:spacing w:val="-9"/>
          <w:sz w:val="14"/>
        </w:rPr>
        <w:t> </w:t>
      </w:r>
      <w:r>
        <w:rPr>
          <w:sz w:val="14"/>
        </w:rPr>
        <w:t>—</w:t>
      </w:r>
      <w:r>
        <w:rPr>
          <w:spacing w:val="40"/>
          <w:sz w:val="14"/>
        </w:rPr>
        <w:t> </w:t>
      </w:r>
      <w:r>
        <w:rPr>
          <w:sz w:val="14"/>
        </w:rPr>
        <w:t>Published:</w:t>
      </w:r>
      <w:r>
        <w:rPr>
          <w:spacing w:val="-7"/>
          <w:sz w:val="14"/>
        </w:rPr>
        <w:t> </w:t>
      </w:r>
      <w:r>
        <w:rPr>
          <w:spacing w:val="-10"/>
          <w:sz w:val="14"/>
        </w:rPr>
        <w:t>—</w:t>
      </w:r>
    </w:p>
    <w:p>
      <w:pPr>
        <w:pStyle w:val="BodyText"/>
        <w:spacing w:before="2"/>
        <w:ind w:left="0" w:firstLine="0"/>
        <w:jc w:val="left"/>
        <w:rPr>
          <w:sz w:val="5"/>
        </w:rPr>
      </w:pPr>
    </w:p>
    <w:p>
      <w:pPr>
        <w:spacing w:line="240" w:lineRule="auto"/>
        <w:ind w:left="169" w:right="0" w:firstLine="0"/>
        <w:rPr>
          <w:sz w:val="20"/>
        </w:rPr>
      </w:pPr>
      <w:r>
        <w:rPr>
          <w:sz w:val="20"/>
        </w:rPr>
        <w:drawing>
          <wp:inline distT="0" distB="0" distL="0" distR="0">
            <wp:extent cx="757642" cy="265175"/>
            <wp:effectExtent l="0" t="0" r="0" b="0"/>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757642" cy="265175"/>
                    </a:xfrm>
                    <a:prstGeom prst="rect">
                      <a:avLst/>
                    </a:prstGeom>
                  </pic:spPr>
                </pic:pic>
              </a:graphicData>
            </a:graphic>
          </wp:inline>
        </w:drawing>
      </w:r>
      <w:r>
        <w:rPr>
          <w:sz w:val="20"/>
        </w:rPr>
      </w:r>
    </w:p>
    <w:p>
      <w:pPr>
        <w:spacing w:before="82"/>
        <w:ind w:left="168" w:right="0" w:firstLine="0"/>
        <w:jc w:val="left"/>
        <w:rPr>
          <w:sz w:val="14"/>
        </w:rPr>
      </w:pPr>
      <w:r>
        <w:rPr>
          <w:b/>
          <w:sz w:val="14"/>
        </w:rPr>
        <w:t>Copyright: </w:t>
      </w:r>
      <w:r>
        <w:rPr>
          <w:sz w:val="14"/>
        </w:rPr>
        <w:t>© 2026 by the authors.</w:t>
      </w:r>
      <w:r>
        <w:rPr>
          <w:spacing w:val="40"/>
          <w:sz w:val="14"/>
        </w:rPr>
        <w:t> </w:t>
      </w:r>
      <w:r>
        <w:rPr>
          <w:sz w:val="14"/>
        </w:rPr>
        <w:t>This article is an open access</w:t>
      </w:r>
      <w:r>
        <w:rPr>
          <w:spacing w:val="-1"/>
          <w:sz w:val="14"/>
        </w:rPr>
        <w:t> </w:t>
      </w:r>
      <w:r>
        <w:rPr>
          <w:sz w:val="14"/>
        </w:rPr>
        <w:t>article</w:t>
      </w:r>
      <w:r>
        <w:rPr>
          <w:spacing w:val="40"/>
          <w:sz w:val="14"/>
        </w:rPr>
        <w:t> </w:t>
      </w:r>
      <w:r>
        <w:rPr>
          <w:sz w:val="14"/>
        </w:rPr>
        <w:t>distributed under the terms and</w:t>
      </w:r>
      <w:r>
        <w:rPr>
          <w:spacing w:val="40"/>
          <w:sz w:val="14"/>
        </w:rPr>
        <w:t> </w:t>
      </w:r>
      <w:r>
        <w:rPr>
          <w:sz w:val="14"/>
        </w:rPr>
        <w:t>conditions</w:t>
      </w:r>
      <w:r>
        <w:rPr>
          <w:spacing w:val="-9"/>
          <w:sz w:val="14"/>
        </w:rPr>
        <w:t> </w:t>
      </w:r>
      <w:r>
        <w:rPr>
          <w:sz w:val="14"/>
        </w:rPr>
        <w:t>of</w:t>
      </w:r>
      <w:r>
        <w:rPr>
          <w:spacing w:val="-9"/>
          <w:sz w:val="14"/>
        </w:rPr>
        <w:t> </w:t>
      </w:r>
      <w:r>
        <w:rPr>
          <w:sz w:val="14"/>
        </w:rPr>
        <w:t>the</w:t>
      </w:r>
      <w:r>
        <w:rPr>
          <w:spacing w:val="-9"/>
          <w:sz w:val="14"/>
        </w:rPr>
        <w:t> </w:t>
      </w:r>
      <w:r>
        <w:rPr>
          <w:sz w:val="14"/>
        </w:rPr>
        <w:t>Creative</w:t>
      </w:r>
      <w:r>
        <w:rPr>
          <w:spacing w:val="-8"/>
          <w:sz w:val="14"/>
        </w:rPr>
        <w:t> </w:t>
      </w:r>
      <w:r>
        <w:rPr>
          <w:sz w:val="14"/>
        </w:rPr>
        <w:t>Commons</w:t>
      </w:r>
      <w:r>
        <w:rPr>
          <w:spacing w:val="40"/>
          <w:sz w:val="14"/>
        </w:rPr>
        <w:t> </w:t>
      </w:r>
      <w:r>
        <w:rPr>
          <w:sz w:val="14"/>
        </w:rPr>
        <w:t>Attribution (CC BY) license.</w:t>
      </w:r>
    </w:p>
    <w:p>
      <w:pPr>
        <w:pStyle w:val="BodyText"/>
        <w:spacing w:before="92"/>
        <w:ind w:left="147" w:right="165" w:firstLine="0"/>
      </w:pPr>
      <w:r>
        <w:rPr/>
        <w:br w:type="column"/>
      </w:r>
      <w:r>
        <w:rPr>
          <w:b/>
        </w:rPr>
        <w:t>Abstract: </w:t>
      </w:r>
      <w:r>
        <w:rPr/>
        <w:t>The study investigates the value relevance of cash flow accounting reporting on listed Nigerian consumer goods sector. Ex-post facto was adopted as the research design for the study, and the population comprised</w:t>
      </w:r>
      <w:r>
        <w:rPr>
          <w:spacing w:val="-5"/>
        </w:rPr>
        <w:t> </w:t>
      </w:r>
      <w:r>
        <w:rPr/>
        <w:t>of</w:t>
      </w:r>
      <w:r>
        <w:rPr>
          <w:spacing w:val="-6"/>
        </w:rPr>
        <w:t> </w:t>
      </w:r>
      <w:r>
        <w:rPr/>
        <w:t>21</w:t>
      </w:r>
      <w:r>
        <w:rPr>
          <w:spacing w:val="-5"/>
        </w:rPr>
        <w:t> </w:t>
      </w:r>
      <w:r>
        <w:rPr/>
        <w:t>listed</w:t>
      </w:r>
      <w:r>
        <w:rPr>
          <w:spacing w:val="-5"/>
        </w:rPr>
        <w:t> </w:t>
      </w:r>
      <w:r>
        <w:rPr/>
        <w:t>firms</w:t>
      </w:r>
      <w:r>
        <w:rPr>
          <w:spacing w:val="-6"/>
        </w:rPr>
        <w:t> </w:t>
      </w:r>
      <w:r>
        <w:rPr/>
        <w:t>in</w:t>
      </w:r>
      <w:r>
        <w:rPr>
          <w:spacing w:val="-4"/>
        </w:rPr>
        <w:t> </w:t>
      </w:r>
      <w:r>
        <w:rPr/>
        <w:t>the</w:t>
      </w:r>
      <w:r>
        <w:rPr>
          <w:spacing w:val="-6"/>
        </w:rPr>
        <w:t> </w:t>
      </w:r>
      <w:r>
        <w:rPr/>
        <w:t>consumer</w:t>
      </w:r>
      <w:r>
        <w:rPr>
          <w:spacing w:val="-6"/>
        </w:rPr>
        <w:t> </w:t>
      </w:r>
      <w:r>
        <w:rPr/>
        <w:t>goods</w:t>
      </w:r>
      <w:r>
        <w:rPr>
          <w:spacing w:val="-6"/>
        </w:rPr>
        <w:t> </w:t>
      </w:r>
      <w:r>
        <w:rPr/>
        <w:t>sector</w:t>
      </w:r>
      <w:r>
        <w:rPr>
          <w:spacing w:val="-6"/>
        </w:rPr>
        <w:t> </w:t>
      </w:r>
      <w:r>
        <w:rPr/>
        <w:t>and</w:t>
      </w:r>
      <w:r>
        <w:rPr>
          <w:spacing w:val="-5"/>
        </w:rPr>
        <w:t> </w:t>
      </w:r>
      <w:r>
        <w:rPr/>
        <w:t>a</w:t>
      </w:r>
      <w:r>
        <w:rPr>
          <w:spacing w:val="-6"/>
        </w:rPr>
        <w:t> </w:t>
      </w:r>
      <w:r>
        <w:rPr/>
        <w:t>sample</w:t>
      </w:r>
      <w:r>
        <w:rPr>
          <w:spacing w:val="-6"/>
        </w:rPr>
        <w:t> </w:t>
      </w:r>
      <w:r>
        <w:rPr/>
        <w:t>of</w:t>
      </w:r>
      <w:r>
        <w:rPr>
          <w:spacing w:val="-6"/>
        </w:rPr>
        <w:t> </w:t>
      </w:r>
      <w:r>
        <w:rPr/>
        <w:t>fourteen</w:t>
      </w:r>
      <w:r>
        <w:rPr>
          <w:spacing w:val="-5"/>
        </w:rPr>
        <w:t> </w:t>
      </w:r>
      <w:r>
        <w:rPr/>
        <w:t>(14)</w:t>
      </w:r>
      <w:r>
        <w:rPr>
          <w:spacing w:val="-6"/>
        </w:rPr>
        <w:t> </w:t>
      </w:r>
      <w:r>
        <w:rPr/>
        <w:t>firms</w:t>
      </w:r>
      <w:r>
        <w:rPr>
          <w:spacing w:val="-6"/>
        </w:rPr>
        <w:t> </w:t>
      </w:r>
      <w:r>
        <w:rPr/>
        <w:t>was</w:t>
      </w:r>
      <w:r>
        <w:rPr>
          <w:spacing w:val="-6"/>
        </w:rPr>
        <w:t> </w:t>
      </w:r>
      <w:r>
        <w:rPr/>
        <w:t>selected</w:t>
      </w:r>
      <w:r>
        <w:rPr>
          <w:spacing w:val="-5"/>
        </w:rPr>
        <w:t> </w:t>
      </w:r>
      <w:r>
        <w:rPr/>
        <w:t>using purposive sampling technique. The annual accounts of the sampled firms served as secondary sources for data extraction based on the variables of the study. The study adopted the feasible GLS regression method of data analysis. The result revealed that free cash flow has negative insignificant effect on the market value of listed consumer goods firm in Nigeria, however, capital expenditure to cash flow ratio and operating cash flow ratio has positive significant effect on the market value of listed consumer goods firm in Nigeria. The study recommended</w:t>
      </w:r>
      <w:r>
        <w:rPr>
          <w:spacing w:val="-1"/>
        </w:rPr>
        <w:t> </w:t>
      </w:r>
      <w:r>
        <w:rPr/>
        <w:t>that</w:t>
      </w:r>
      <w:r>
        <w:rPr>
          <w:spacing w:val="-2"/>
        </w:rPr>
        <w:t> </w:t>
      </w:r>
      <w:r>
        <w:rPr/>
        <w:t>the</w:t>
      </w:r>
      <w:r>
        <w:rPr>
          <w:spacing w:val="-3"/>
        </w:rPr>
        <w:t> </w:t>
      </w:r>
      <w:r>
        <w:rPr/>
        <w:t>consumer</w:t>
      </w:r>
      <w:r>
        <w:rPr>
          <w:spacing w:val="-2"/>
        </w:rPr>
        <w:t> </w:t>
      </w:r>
      <w:r>
        <w:rPr/>
        <w:t>goods</w:t>
      </w:r>
      <w:r>
        <w:rPr>
          <w:spacing w:val="-3"/>
        </w:rPr>
        <w:t> </w:t>
      </w:r>
      <w:r>
        <w:rPr/>
        <w:t>firm</w:t>
      </w:r>
      <w:r>
        <w:rPr>
          <w:spacing w:val="-3"/>
        </w:rPr>
        <w:t> </w:t>
      </w:r>
      <w:r>
        <w:rPr/>
        <w:t>should</w:t>
      </w:r>
      <w:r>
        <w:rPr>
          <w:spacing w:val="-1"/>
        </w:rPr>
        <w:t> </w:t>
      </w:r>
      <w:r>
        <w:rPr/>
        <w:t>analyze</w:t>
      </w:r>
      <w:r>
        <w:rPr>
          <w:spacing w:val="-3"/>
        </w:rPr>
        <w:t> </w:t>
      </w:r>
      <w:r>
        <w:rPr/>
        <w:t>their</w:t>
      </w:r>
      <w:r>
        <w:rPr>
          <w:spacing w:val="-2"/>
        </w:rPr>
        <w:t> </w:t>
      </w:r>
      <w:r>
        <w:rPr/>
        <w:t>current</w:t>
      </w:r>
      <w:r>
        <w:rPr>
          <w:spacing w:val="-2"/>
        </w:rPr>
        <w:t> </w:t>
      </w:r>
      <w:r>
        <w:rPr/>
        <w:t>FCF</w:t>
      </w:r>
      <w:r>
        <w:rPr>
          <w:spacing w:val="-2"/>
        </w:rPr>
        <w:t> </w:t>
      </w:r>
      <w:r>
        <w:rPr/>
        <w:t>allocation</w:t>
      </w:r>
      <w:r>
        <w:rPr>
          <w:spacing w:val="-1"/>
        </w:rPr>
        <w:t> </w:t>
      </w:r>
      <w:r>
        <w:rPr/>
        <w:t>strategy</w:t>
      </w:r>
      <w:r>
        <w:rPr>
          <w:spacing w:val="-1"/>
        </w:rPr>
        <w:t> </w:t>
      </w:r>
      <w:r>
        <w:rPr/>
        <w:t>and</w:t>
      </w:r>
      <w:r>
        <w:rPr>
          <w:spacing w:val="-1"/>
        </w:rPr>
        <w:t> </w:t>
      </w:r>
      <w:r>
        <w:rPr/>
        <w:t>consider</w:t>
      </w:r>
      <w:r>
        <w:rPr>
          <w:spacing w:val="-2"/>
        </w:rPr>
        <w:t> </w:t>
      </w:r>
      <w:r>
        <w:rPr/>
        <w:t>if there are alternative investment opportunities, develop a strategic CapEx plan that focuses on investments with demonstrably positive impacts on future and implement strategies to improve operational efficiency and streamline cash flow generation processes.</w:t>
      </w:r>
    </w:p>
    <w:p>
      <w:pPr>
        <w:pStyle w:val="BodyText"/>
        <w:spacing w:before="82"/>
        <w:ind w:left="147" w:right="170" w:firstLine="0"/>
      </w:pPr>
      <w:r>
        <w:rPr>
          <w:b/>
        </w:rPr>
        <w:t>Keywords: </w:t>
      </w:r>
      <w:r>
        <w:rPr/>
        <w:t>Value Relevance, Free Cash Flow, Capital Expenditure to Cash Flow, Operating Cash Flow, Consumer Goods Sector, Nigerian Exchange Group.</w:t>
      </w:r>
    </w:p>
    <w:p>
      <w:pPr>
        <w:spacing w:before="138"/>
        <w:ind w:left="147" w:right="0" w:firstLine="0"/>
        <w:jc w:val="both"/>
        <w:rPr>
          <w:b/>
          <w:sz w:val="18"/>
        </w:rPr>
      </w:pPr>
      <w:r>
        <w:rPr>
          <w:b/>
          <w:color w:val="000000"/>
          <w:sz w:val="18"/>
          <w:highlight w:val="cyan"/>
        </w:rPr>
        <w:t>Mathematics</w:t>
      </w:r>
      <w:r>
        <w:rPr>
          <w:b/>
          <w:color w:val="000000"/>
          <w:spacing w:val="-6"/>
          <w:sz w:val="18"/>
          <w:highlight w:val="cyan"/>
        </w:rPr>
        <w:t> </w:t>
      </w:r>
      <w:r>
        <w:rPr>
          <w:b/>
          <w:color w:val="000000"/>
          <w:sz w:val="18"/>
          <w:highlight w:val="cyan"/>
        </w:rPr>
        <w:t>Subject</w:t>
      </w:r>
      <w:r>
        <w:rPr>
          <w:b/>
          <w:color w:val="000000"/>
          <w:spacing w:val="-4"/>
          <w:sz w:val="18"/>
          <w:highlight w:val="cyan"/>
        </w:rPr>
        <w:t> </w:t>
      </w:r>
      <w:r>
        <w:rPr>
          <w:b/>
          <w:color w:val="000000"/>
          <w:spacing w:val="-2"/>
          <w:sz w:val="18"/>
          <w:highlight w:val="cyan"/>
        </w:rPr>
        <w:t>Classification:</w:t>
      </w:r>
    </w:p>
    <w:p>
      <w:pPr>
        <w:pStyle w:val="BodyText"/>
        <w:spacing w:before="7"/>
        <w:ind w:left="0" w:firstLine="0"/>
        <w:jc w:val="left"/>
        <w:rPr>
          <w:b/>
          <w:sz w:val="6"/>
        </w:rPr>
      </w:pPr>
      <w:r>
        <w:rPr>
          <w:b/>
          <w:sz w:val="6"/>
        </w:rPr>
        <mc:AlternateContent>
          <mc:Choice Requires="wps">
            <w:drawing>
              <wp:anchor distT="0" distB="0" distL="0" distR="0" allowOverlap="1" layoutInCell="1" locked="0" behindDoc="1" simplePos="0" relativeHeight="487587840">
                <wp:simplePos x="0" y="0"/>
                <wp:positionH relativeFrom="page">
                  <wp:posOffset>1943354</wp:posOffset>
                </wp:positionH>
                <wp:positionV relativeFrom="paragraph">
                  <wp:posOffset>64087</wp:posOffset>
                </wp:positionV>
                <wp:extent cx="5154295"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154295" cy="9525"/>
                        </a:xfrm>
                        <a:custGeom>
                          <a:avLst/>
                          <a:gdLst/>
                          <a:ahLst/>
                          <a:cxnLst/>
                          <a:rect l="l" t="t" r="r" b="b"/>
                          <a:pathLst>
                            <a:path w="5154295" h="9525">
                              <a:moveTo>
                                <a:pt x="5153913" y="0"/>
                              </a:moveTo>
                              <a:lnTo>
                                <a:pt x="0" y="0"/>
                              </a:lnTo>
                              <a:lnTo>
                                <a:pt x="0" y="9144"/>
                              </a:lnTo>
                              <a:lnTo>
                                <a:pt x="5153913" y="9144"/>
                              </a:lnTo>
                              <a:lnTo>
                                <a:pt x="5153913" y="0"/>
                              </a:lnTo>
                              <a:close/>
                            </a:path>
                          </a:pathLst>
                        </a:custGeom>
                        <a:solidFill>
                          <a:srgbClr val="666666"/>
                        </a:solidFill>
                      </wps:spPr>
                      <wps:bodyPr wrap="square" lIns="0" tIns="0" rIns="0" bIns="0" rtlCol="0">
                        <a:prstTxWarp prst="textNoShape">
                          <a:avLst/>
                        </a:prstTxWarp>
                        <a:noAutofit/>
                      </wps:bodyPr>
                    </wps:wsp>
                  </a:graphicData>
                </a:graphic>
              </wp:anchor>
            </w:drawing>
          </mc:Choice>
          <mc:Fallback>
            <w:pict>
              <v:rect style="position:absolute;margin-left:153.020004pt;margin-top:5.046250pt;width:405.82pt;height:.72pt;mso-position-horizontal-relative:page;mso-position-vertical-relative:paragraph;z-index:-15728640;mso-wrap-distance-left:0;mso-wrap-distance-right:0" id="docshape4" filled="true" fillcolor="#666666" stroked="false">
                <v:fill type="solid"/>
                <w10:wrap type="topAndBottom"/>
              </v:rect>
            </w:pict>
          </mc:Fallback>
        </mc:AlternateContent>
      </w:r>
    </w:p>
    <w:p>
      <w:pPr>
        <w:pStyle w:val="Heading2"/>
        <w:numPr>
          <w:ilvl w:val="0"/>
          <w:numId w:val="2"/>
        </w:numPr>
        <w:tabs>
          <w:tab w:pos="367" w:val="left" w:leader="none"/>
        </w:tabs>
        <w:spacing w:line="240" w:lineRule="auto" w:before="142" w:after="0"/>
        <w:ind w:left="367" w:right="0" w:hanging="220"/>
        <w:jc w:val="left"/>
      </w:pPr>
      <w:r>
        <w:rPr>
          <w:spacing w:val="-2"/>
        </w:rPr>
        <w:t>Introduction</w:t>
      </w:r>
    </w:p>
    <w:p>
      <w:pPr>
        <w:pStyle w:val="BodyText"/>
        <w:spacing w:before="58"/>
        <w:ind w:left="147" w:right="164"/>
      </w:pPr>
      <w:r>
        <w:rPr/>
        <w:t>Cash flow accounting reporting has become a central instrument for evaluating the financial health, sustainability, and resilience of corporations in both advanced and emerging markets. By systematically categorizing cash movements across operating, investing, and financing activities, it provides a transparent portrayal of how resources are generated, reinvested, and deployed (Jones, 2019). Such classification equips investors,</w:t>
      </w:r>
      <w:r>
        <w:rPr>
          <w:spacing w:val="-3"/>
        </w:rPr>
        <w:t> </w:t>
      </w:r>
      <w:r>
        <w:rPr/>
        <w:t>regulators,</w:t>
      </w:r>
      <w:r>
        <w:rPr>
          <w:spacing w:val="-3"/>
        </w:rPr>
        <w:t> </w:t>
      </w:r>
      <w:r>
        <w:rPr/>
        <w:t>and</w:t>
      </w:r>
      <w:r>
        <w:rPr>
          <w:spacing w:val="-1"/>
        </w:rPr>
        <w:t> </w:t>
      </w:r>
      <w:r>
        <w:rPr/>
        <w:t>management</w:t>
      </w:r>
      <w:r>
        <w:rPr>
          <w:spacing w:val="-1"/>
        </w:rPr>
        <w:t> </w:t>
      </w:r>
      <w:r>
        <w:rPr/>
        <w:t>with</w:t>
      </w:r>
      <w:r>
        <w:rPr>
          <w:spacing w:val="-2"/>
        </w:rPr>
        <w:t> </w:t>
      </w:r>
      <w:r>
        <w:rPr/>
        <w:t>an</w:t>
      </w:r>
      <w:r>
        <w:rPr>
          <w:spacing w:val="-2"/>
        </w:rPr>
        <w:t> </w:t>
      </w:r>
      <w:r>
        <w:rPr/>
        <w:t>indispensable</w:t>
      </w:r>
      <w:r>
        <w:rPr>
          <w:spacing w:val="-1"/>
        </w:rPr>
        <w:t> </w:t>
      </w:r>
      <w:r>
        <w:rPr/>
        <w:t>lens</w:t>
      </w:r>
      <w:r>
        <w:rPr>
          <w:spacing w:val="-4"/>
        </w:rPr>
        <w:t> </w:t>
      </w:r>
      <w:r>
        <w:rPr/>
        <w:t>through</w:t>
      </w:r>
      <w:r>
        <w:rPr>
          <w:spacing w:val="-1"/>
        </w:rPr>
        <w:t> </w:t>
      </w:r>
      <w:r>
        <w:rPr/>
        <w:t>which</w:t>
      </w:r>
      <w:r>
        <w:rPr>
          <w:spacing w:val="-2"/>
        </w:rPr>
        <w:t> </w:t>
      </w:r>
      <w:r>
        <w:rPr/>
        <w:t>to</w:t>
      </w:r>
      <w:r>
        <w:rPr>
          <w:spacing w:val="-2"/>
        </w:rPr>
        <w:t> </w:t>
      </w:r>
      <w:r>
        <w:rPr/>
        <w:t>appraise liquidity,</w:t>
      </w:r>
      <w:r>
        <w:rPr>
          <w:spacing w:val="-1"/>
        </w:rPr>
        <w:t> </w:t>
      </w:r>
      <w:r>
        <w:rPr/>
        <w:t>solvency, and long-term viability, thereby enhancing the quality of decision-making. Yet, despite its acknowledged importance, a pronounced gap persists in the scholarly interrogation of how cash flow disclosures influence corporate valuation. As Thomya et al. (2023) observe, financial reporting research has historically been dominated by accrual-based earnings analysis, often to the neglect of the potential explanatory and predictive strength</w:t>
      </w:r>
      <w:r>
        <w:rPr>
          <w:spacing w:val="-12"/>
        </w:rPr>
        <w:t> </w:t>
      </w:r>
      <w:r>
        <w:rPr/>
        <w:t>of</w:t>
      </w:r>
      <w:r>
        <w:rPr>
          <w:spacing w:val="-11"/>
        </w:rPr>
        <w:t> </w:t>
      </w:r>
      <w:r>
        <w:rPr/>
        <w:t>cash</w:t>
      </w:r>
      <w:r>
        <w:rPr>
          <w:spacing w:val="-11"/>
        </w:rPr>
        <w:t> </w:t>
      </w:r>
      <w:r>
        <w:rPr/>
        <w:t>flow</w:t>
      </w:r>
      <w:r>
        <w:rPr>
          <w:spacing w:val="-11"/>
        </w:rPr>
        <w:t> </w:t>
      </w:r>
      <w:r>
        <w:rPr/>
        <w:t>information</w:t>
      </w:r>
      <w:r>
        <w:rPr>
          <w:spacing w:val="-12"/>
        </w:rPr>
        <w:t> </w:t>
      </w:r>
      <w:r>
        <w:rPr/>
        <w:t>in</w:t>
      </w:r>
      <w:r>
        <w:rPr>
          <w:spacing w:val="-11"/>
        </w:rPr>
        <w:t> </w:t>
      </w:r>
      <w:r>
        <w:rPr/>
        <w:t>shaping</w:t>
      </w:r>
      <w:r>
        <w:rPr>
          <w:spacing w:val="-11"/>
        </w:rPr>
        <w:t> </w:t>
      </w:r>
      <w:r>
        <w:rPr/>
        <w:t>stock</w:t>
      </w:r>
      <w:r>
        <w:rPr>
          <w:spacing w:val="-11"/>
        </w:rPr>
        <w:t> </w:t>
      </w:r>
      <w:r>
        <w:rPr/>
        <w:t>prices</w:t>
      </w:r>
      <w:r>
        <w:rPr>
          <w:spacing w:val="-12"/>
        </w:rPr>
        <w:t> </w:t>
      </w:r>
      <w:r>
        <w:rPr/>
        <w:t>and</w:t>
      </w:r>
      <w:r>
        <w:rPr>
          <w:spacing w:val="-11"/>
        </w:rPr>
        <w:t> </w:t>
      </w:r>
      <w:r>
        <w:rPr/>
        <w:t>guiding</w:t>
      </w:r>
      <w:r>
        <w:rPr>
          <w:spacing w:val="-11"/>
        </w:rPr>
        <w:t> </w:t>
      </w:r>
      <w:r>
        <w:rPr/>
        <w:t>investment</w:t>
      </w:r>
      <w:r>
        <w:rPr>
          <w:spacing w:val="-11"/>
        </w:rPr>
        <w:t> </w:t>
      </w:r>
      <w:r>
        <w:rPr/>
        <w:t>choices.</w:t>
      </w:r>
      <w:r>
        <w:rPr>
          <w:spacing w:val="-12"/>
        </w:rPr>
        <w:t> </w:t>
      </w:r>
      <w:r>
        <w:rPr/>
        <w:t>This</w:t>
      </w:r>
      <w:r>
        <w:rPr>
          <w:spacing w:val="-11"/>
        </w:rPr>
        <w:t> </w:t>
      </w:r>
      <w:r>
        <w:rPr/>
        <w:t>lacuna</w:t>
      </w:r>
      <w:r>
        <w:rPr>
          <w:spacing w:val="-11"/>
        </w:rPr>
        <w:t> </w:t>
      </w:r>
      <w:r>
        <w:rPr/>
        <w:t>underscores the need for an empirically grounded exploration of the value relevance of cash flow accounting reporting, particularly in Sub-Saharan Africa. Existing studies, including Muller &amp; Zimmermann (2020); Ugwu et al. (2020); Nasimiyu (2023), and Adegbite et al.,</w:t>
      </w:r>
      <w:r>
        <w:rPr>
          <w:spacing w:val="40"/>
        </w:rPr>
        <w:t> </w:t>
      </w:r>
      <w:r>
        <w:rPr/>
        <w:t>(2024), have investigated the relationship between financial reporting</w:t>
      </w:r>
      <w:r>
        <w:rPr>
          <w:spacing w:val="-3"/>
        </w:rPr>
        <w:t> </w:t>
      </w:r>
      <w:r>
        <w:rPr/>
        <w:t>and</w:t>
      </w:r>
      <w:r>
        <w:rPr>
          <w:spacing w:val="-3"/>
        </w:rPr>
        <w:t> </w:t>
      </w:r>
      <w:r>
        <w:rPr/>
        <w:t>corporate</w:t>
      </w:r>
      <w:r>
        <w:rPr>
          <w:spacing w:val="-7"/>
        </w:rPr>
        <w:t> </w:t>
      </w:r>
      <w:r>
        <w:rPr/>
        <w:t>valuation</w:t>
      </w:r>
      <w:r>
        <w:rPr>
          <w:spacing w:val="-6"/>
        </w:rPr>
        <w:t> </w:t>
      </w:r>
      <w:r>
        <w:rPr/>
        <w:t>in</w:t>
      </w:r>
      <w:r>
        <w:rPr>
          <w:spacing w:val="-3"/>
        </w:rPr>
        <w:t> </w:t>
      </w:r>
      <w:r>
        <w:rPr/>
        <w:t>more</w:t>
      </w:r>
      <w:r>
        <w:rPr>
          <w:spacing w:val="-7"/>
        </w:rPr>
        <w:t> </w:t>
      </w:r>
      <w:r>
        <w:rPr/>
        <w:t>general</w:t>
      </w:r>
      <w:r>
        <w:rPr>
          <w:spacing w:val="-4"/>
        </w:rPr>
        <w:t> </w:t>
      </w:r>
      <w:r>
        <w:rPr/>
        <w:t>contexts,</w:t>
      </w:r>
      <w:r>
        <w:rPr>
          <w:spacing w:val="-6"/>
        </w:rPr>
        <w:t> </w:t>
      </w:r>
      <w:r>
        <w:rPr/>
        <w:t>yet</w:t>
      </w:r>
      <w:r>
        <w:rPr>
          <w:spacing w:val="-4"/>
        </w:rPr>
        <w:t> </w:t>
      </w:r>
      <w:r>
        <w:rPr/>
        <w:t>few</w:t>
      </w:r>
      <w:r>
        <w:rPr>
          <w:spacing w:val="-5"/>
        </w:rPr>
        <w:t> </w:t>
      </w:r>
      <w:r>
        <w:rPr/>
        <w:t>have</w:t>
      </w:r>
      <w:r>
        <w:rPr>
          <w:spacing w:val="-5"/>
        </w:rPr>
        <w:t> </w:t>
      </w:r>
      <w:r>
        <w:rPr/>
        <w:t>explicitly</w:t>
      </w:r>
      <w:r>
        <w:rPr>
          <w:spacing w:val="-5"/>
        </w:rPr>
        <w:t> </w:t>
      </w:r>
      <w:r>
        <w:rPr/>
        <w:t>foregrounded</w:t>
      </w:r>
      <w:r>
        <w:rPr>
          <w:spacing w:val="-3"/>
        </w:rPr>
        <w:t> </w:t>
      </w:r>
      <w:r>
        <w:rPr/>
        <w:t>the</w:t>
      </w:r>
      <w:r>
        <w:rPr>
          <w:spacing w:val="-5"/>
        </w:rPr>
        <w:t> </w:t>
      </w:r>
      <w:r>
        <w:rPr/>
        <w:t>role</w:t>
      </w:r>
      <w:r>
        <w:rPr>
          <w:spacing w:val="-5"/>
        </w:rPr>
        <w:t> </w:t>
      </w:r>
      <w:r>
        <w:rPr/>
        <w:t>of</w:t>
      </w:r>
      <w:r>
        <w:rPr>
          <w:spacing w:val="-4"/>
        </w:rPr>
        <w:t> </w:t>
      </w:r>
      <w:r>
        <w:rPr/>
        <w:t>cash flow disclosures in African markets.</w:t>
      </w:r>
    </w:p>
    <w:p>
      <w:pPr>
        <w:pStyle w:val="BodyText"/>
        <w:spacing w:after="0"/>
        <w:sectPr>
          <w:type w:val="continuous"/>
          <w:pgSz w:w="11910" w:h="16840"/>
          <w:pgMar w:header="0" w:footer="301" w:top="420" w:bottom="500" w:left="566" w:right="566"/>
          <w:cols w:num="2" w:equalWidth="0">
            <w:col w:w="2337" w:space="40"/>
            <w:col w:w="8401"/>
          </w:cols>
        </w:sectPr>
      </w:pPr>
    </w:p>
    <w:p>
      <w:pPr>
        <w:pStyle w:val="BodyText"/>
        <w:spacing w:before="192"/>
        <w:ind w:right="363"/>
      </w:pPr>
      <w:r>
        <w:rPr/>
        <w:t>The institutional landscape of Sub-Saharan Africa—marked by regulatory diversity, fluctuating macroeconomic conditions, infrastructural constraints, and evolving governance practices—creates distinctive conditions under which financial information is interpreted.</w:t>
      </w:r>
      <w:r>
        <w:rPr>
          <w:spacing w:val="-6"/>
        </w:rPr>
        <w:t> </w:t>
      </w:r>
      <w:r>
        <w:rPr/>
        <w:t>These</w:t>
      </w:r>
      <w:r>
        <w:rPr>
          <w:spacing w:val="-5"/>
        </w:rPr>
        <w:t> </w:t>
      </w:r>
      <w:r>
        <w:rPr/>
        <w:t>unique</w:t>
      </w:r>
      <w:r>
        <w:rPr>
          <w:spacing w:val="-5"/>
        </w:rPr>
        <w:t> </w:t>
      </w:r>
      <w:r>
        <w:rPr/>
        <w:t>features</w:t>
      </w:r>
      <w:r>
        <w:rPr>
          <w:spacing w:val="-7"/>
        </w:rPr>
        <w:t> </w:t>
      </w:r>
      <w:r>
        <w:rPr/>
        <w:t>may</w:t>
      </w:r>
      <w:r>
        <w:rPr>
          <w:spacing w:val="-3"/>
        </w:rPr>
        <w:t> </w:t>
      </w:r>
      <w:r>
        <w:rPr/>
        <w:t>critically</w:t>
      </w:r>
      <w:r>
        <w:rPr>
          <w:spacing w:val="-3"/>
        </w:rPr>
        <w:t> </w:t>
      </w:r>
      <w:r>
        <w:rPr/>
        <w:t>shape</w:t>
      </w:r>
      <w:r>
        <w:rPr>
          <w:spacing w:val="-5"/>
        </w:rPr>
        <w:t> </w:t>
      </w:r>
      <w:r>
        <w:rPr/>
        <w:t>the</w:t>
      </w:r>
      <w:r>
        <w:rPr>
          <w:spacing w:val="-5"/>
        </w:rPr>
        <w:t> </w:t>
      </w:r>
      <w:r>
        <w:rPr/>
        <w:t>extent</w:t>
      </w:r>
      <w:r>
        <w:rPr>
          <w:spacing w:val="-4"/>
        </w:rPr>
        <w:t> </w:t>
      </w:r>
      <w:r>
        <w:rPr/>
        <w:t>to</w:t>
      </w:r>
      <w:r>
        <w:rPr>
          <w:spacing w:val="-6"/>
        </w:rPr>
        <w:t> </w:t>
      </w:r>
      <w:r>
        <w:rPr/>
        <w:t>which</w:t>
      </w:r>
      <w:r>
        <w:rPr>
          <w:spacing w:val="-4"/>
        </w:rPr>
        <w:t> </w:t>
      </w:r>
      <w:r>
        <w:rPr/>
        <w:t>cash</w:t>
      </w:r>
      <w:r>
        <w:rPr>
          <w:spacing w:val="-4"/>
        </w:rPr>
        <w:t> </w:t>
      </w:r>
      <w:r>
        <w:rPr/>
        <w:t>flow</w:t>
      </w:r>
      <w:r>
        <w:rPr>
          <w:spacing w:val="-5"/>
        </w:rPr>
        <w:t> </w:t>
      </w:r>
      <w:r>
        <w:rPr/>
        <w:t>reporting</w:t>
      </w:r>
      <w:r>
        <w:rPr>
          <w:spacing w:val="-6"/>
        </w:rPr>
        <w:t> </w:t>
      </w:r>
      <w:r>
        <w:rPr/>
        <w:t>is</w:t>
      </w:r>
      <w:r>
        <w:rPr>
          <w:spacing w:val="-4"/>
        </w:rPr>
        <w:t> </w:t>
      </w:r>
      <w:r>
        <w:rPr/>
        <w:t>valued</w:t>
      </w:r>
      <w:r>
        <w:rPr>
          <w:spacing w:val="-3"/>
        </w:rPr>
        <w:t> </w:t>
      </w:r>
      <w:r>
        <w:rPr/>
        <w:t>by</w:t>
      </w:r>
      <w:r>
        <w:rPr>
          <w:spacing w:val="-6"/>
        </w:rPr>
        <w:t> </w:t>
      </w:r>
      <w:r>
        <w:rPr/>
        <w:t>market</w:t>
      </w:r>
      <w:r>
        <w:rPr>
          <w:spacing w:val="-4"/>
        </w:rPr>
        <w:t> </w:t>
      </w:r>
      <w:r>
        <w:rPr/>
        <w:t>participants. The</w:t>
      </w:r>
      <w:r>
        <w:rPr>
          <w:spacing w:val="-7"/>
        </w:rPr>
        <w:t> </w:t>
      </w:r>
      <w:r>
        <w:rPr/>
        <w:t>present study</w:t>
      </w:r>
      <w:r>
        <w:rPr>
          <w:spacing w:val="-6"/>
        </w:rPr>
        <w:t> </w:t>
      </w:r>
      <w:r>
        <w:rPr/>
        <w:t>seeks</w:t>
      </w:r>
      <w:r>
        <w:rPr>
          <w:spacing w:val="-5"/>
        </w:rPr>
        <w:t> </w:t>
      </w:r>
      <w:r>
        <w:rPr/>
        <w:t>to</w:t>
      </w:r>
      <w:r>
        <w:rPr>
          <w:spacing w:val="-3"/>
        </w:rPr>
        <w:t> </w:t>
      </w:r>
      <w:r>
        <w:rPr/>
        <w:t>address</w:t>
      </w:r>
      <w:r>
        <w:rPr>
          <w:spacing w:val="-5"/>
        </w:rPr>
        <w:t> </w:t>
      </w:r>
      <w:r>
        <w:rPr/>
        <w:t>this</w:t>
      </w:r>
      <w:r>
        <w:rPr>
          <w:spacing w:val="-7"/>
        </w:rPr>
        <w:t> </w:t>
      </w:r>
      <w:r>
        <w:rPr/>
        <w:t>gap</w:t>
      </w:r>
      <w:r>
        <w:rPr>
          <w:spacing w:val="-6"/>
        </w:rPr>
        <w:t> </w:t>
      </w:r>
      <w:r>
        <w:rPr/>
        <w:t>by</w:t>
      </w:r>
      <w:r>
        <w:rPr>
          <w:spacing w:val="-8"/>
        </w:rPr>
        <w:t> </w:t>
      </w:r>
      <w:r>
        <w:rPr/>
        <w:t>examining</w:t>
      </w:r>
      <w:r>
        <w:rPr>
          <w:spacing w:val="-6"/>
        </w:rPr>
        <w:t> </w:t>
      </w:r>
      <w:r>
        <w:rPr/>
        <w:t>the</w:t>
      </w:r>
      <w:r>
        <w:rPr>
          <w:spacing w:val="-5"/>
        </w:rPr>
        <w:t> </w:t>
      </w:r>
      <w:r>
        <w:rPr/>
        <w:t>relevance</w:t>
      </w:r>
      <w:r>
        <w:rPr>
          <w:spacing w:val="-7"/>
        </w:rPr>
        <w:t> </w:t>
      </w:r>
      <w:r>
        <w:rPr/>
        <w:t>of</w:t>
      </w:r>
      <w:r>
        <w:rPr>
          <w:spacing w:val="-4"/>
        </w:rPr>
        <w:t> </w:t>
      </w:r>
      <w:r>
        <w:rPr/>
        <w:t>cash</w:t>
      </w:r>
      <w:r>
        <w:rPr>
          <w:spacing w:val="-4"/>
        </w:rPr>
        <w:t> </w:t>
      </w:r>
      <w:r>
        <w:rPr/>
        <w:t>flow</w:t>
      </w:r>
      <w:r>
        <w:rPr>
          <w:spacing w:val="-5"/>
        </w:rPr>
        <w:t> </w:t>
      </w:r>
      <w:r>
        <w:rPr/>
        <w:t>accounting</w:t>
      </w:r>
      <w:r>
        <w:rPr>
          <w:spacing w:val="-6"/>
        </w:rPr>
        <w:t> </w:t>
      </w:r>
      <w:r>
        <w:rPr/>
        <w:t>reporting</w:t>
      </w:r>
      <w:r>
        <w:rPr>
          <w:spacing w:val="-3"/>
        </w:rPr>
        <w:t> </w:t>
      </w:r>
      <w:r>
        <w:rPr/>
        <w:t>in</w:t>
      </w:r>
      <w:r>
        <w:rPr>
          <w:spacing w:val="-3"/>
        </w:rPr>
        <w:t> </w:t>
      </w:r>
      <w:r>
        <w:rPr/>
        <w:t>influencing</w:t>
      </w:r>
      <w:r>
        <w:rPr>
          <w:spacing w:val="-6"/>
        </w:rPr>
        <w:t> </w:t>
      </w:r>
      <w:r>
        <w:rPr/>
        <w:t>the</w:t>
      </w:r>
      <w:r>
        <w:rPr>
          <w:spacing w:val="-5"/>
        </w:rPr>
        <w:t> </w:t>
      </w:r>
      <w:r>
        <w:rPr/>
        <w:t>market valuation</w:t>
      </w:r>
      <w:r>
        <w:rPr>
          <w:spacing w:val="-6"/>
        </w:rPr>
        <w:t> </w:t>
      </w:r>
      <w:r>
        <w:rPr/>
        <w:t>of</w:t>
      </w:r>
      <w:r>
        <w:rPr>
          <w:spacing w:val="-7"/>
        </w:rPr>
        <w:t> </w:t>
      </w:r>
      <w:r>
        <w:rPr/>
        <w:t>selected multinational</w:t>
      </w:r>
      <w:r>
        <w:rPr>
          <w:spacing w:val="-2"/>
        </w:rPr>
        <w:t> </w:t>
      </w:r>
      <w:r>
        <w:rPr/>
        <w:t>corporations</w:t>
      </w:r>
      <w:r>
        <w:rPr>
          <w:spacing w:val="-3"/>
        </w:rPr>
        <w:t> </w:t>
      </w:r>
      <w:r>
        <w:rPr/>
        <w:t>across</w:t>
      </w:r>
      <w:r>
        <w:rPr>
          <w:spacing w:val="-3"/>
        </w:rPr>
        <w:t> </w:t>
      </w:r>
      <w:r>
        <w:rPr/>
        <w:t>seven</w:t>
      </w:r>
      <w:r>
        <w:rPr>
          <w:spacing w:val="-1"/>
        </w:rPr>
        <w:t> </w:t>
      </w:r>
      <w:r>
        <w:rPr/>
        <w:t>Sub-Saharan</w:t>
      </w:r>
      <w:r>
        <w:rPr>
          <w:spacing w:val="-1"/>
        </w:rPr>
        <w:t> </w:t>
      </w:r>
      <w:r>
        <w:rPr/>
        <w:t>African</w:t>
      </w:r>
      <w:r>
        <w:rPr>
          <w:spacing w:val="-1"/>
        </w:rPr>
        <w:t> </w:t>
      </w:r>
      <w:r>
        <w:rPr/>
        <w:t>countries:</w:t>
      </w:r>
      <w:r>
        <w:rPr>
          <w:spacing w:val="-2"/>
        </w:rPr>
        <w:t> </w:t>
      </w:r>
      <w:r>
        <w:rPr/>
        <w:t>Nigeria,</w:t>
      </w:r>
      <w:r>
        <w:rPr>
          <w:spacing w:val="-2"/>
        </w:rPr>
        <w:t> </w:t>
      </w:r>
      <w:r>
        <w:rPr/>
        <w:t>South</w:t>
      </w:r>
      <w:r>
        <w:rPr>
          <w:spacing w:val="-1"/>
        </w:rPr>
        <w:t> </w:t>
      </w:r>
      <w:r>
        <w:rPr/>
        <w:t>Africa,</w:t>
      </w:r>
      <w:r>
        <w:rPr>
          <w:spacing w:val="-2"/>
        </w:rPr>
        <w:t> </w:t>
      </w:r>
      <w:r>
        <w:rPr/>
        <w:t>Kenya,</w:t>
      </w:r>
      <w:r>
        <w:rPr>
          <w:spacing w:val="-2"/>
        </w:rPr>
        <w:t> </w:t>
      </w:r>
      <w:r>
        <w:rPr/>
        <w:t>Ghana,</w:t>
      </w:r>
      <w:r>
        <w:rPr>
          <w:spacing w:val="-2"/>
        </w:rPr>
        <w:t> </w:t>
      </w:r>
      <w:r>
        <w:rPr/>
        <w:t>Tanzania,</w:t>
      </w:r>
      <w:r>
        <w:rPr>
          <w:spacing w:val="-2"/>
        </w:rPr>
        <w:t> </w:t>
      </w:r>
      <w:r>
        <w:rPr/>
        <w:t>Uganda,</w:t>
      </w:r>
      <w:r>
        <w:rPr>
          <w:spacing w:val="-2"/>
        </w:rPr>
        <w:t> </w:t>
      </w:r>
      <w:r>
        <w:rPr/>
        <w:t>and</w:t>
      </w:r>
      <w:r>
        <w:rPr>
          <w:spacing w:val="-3"/>
        </w:rPr>
        <w:t> </w:t>
      </w:r>
      <w:r>
        <w:rPr/>
        <w:t>Côte d’Ivoire. These countries provide a representative spectrum of the region’s economic and institutional diversity. Nigeria and South Africa, as</w:t>
      </w:r>
      <w:r>
        <w:rPr>
          <w:spacing w:val="-8"/>
        </w:rPr>
        <w:t> </w:t>
      </w:r>
      <w:r>
        <w:rPr/>
        <w:t>Africa’s</w:t>
      </w:r>
      <w:r>
        <w:rPr>
          <w:spacing w:val="-8"/>
        </w:rPr>
        <w:t> </w:t>
      </w:r>
      <w:r>
        <w:rPr/>
        <w:t>two</w:t>
      </w:r>
      <w:r>
        <w:rPr>
          <w:spacing w:val="-7"/>
        </w:rPr>
        <w:t> </w:t>
      </w:r>
      <w:r>
        <w:rPr/>
        <w:t>largest</w:t>
      </w:r>
      <w:r>
        <w:rPr>
          <w:spacing w:val="-8"/>
        </w:rPr>
        <w:t> </w:t>
      </w:r>
      <w:r>
        <w:rPr/>
        <w:t>economies,</w:t>
      </w:r>
      <w:r>
        <w:rPr>
          <w:spacing w:val="-7"/>
        </w:rPr>
        <w:t> </w:t>
      </w:r>
      <w:r>
        <w:rPr/>
        <w:t>host</w:t>
      </w:r>
      <w:r>
        <w:rPr>
          <w:spacing w:val="-8"/>
        </w:rPr>
        <w:t> </w:t>
      </w:r>
      <w:r>
        <w:rPr/>
        <w:t>dynamic</w:t>
      </w:r>
      <w:r>
        <w:rPr>
          <w:spacing w:val="-8"/>
        </w:rPr>
        <w:t> </w:t>
      </w:r>
      <w:r>
        <w:rPr/>
        <w:t>capital</w:t>
      </w:r>
      <w:r>
        <w:rPr>
          <w:spacing w:val="-7"/>
        </w:rPr>
        <w:t> </w:t>
      </w:r>
      <w:r>
        <w:rPr/>
        <w:t>markets</w:t>
      </w:r>
      <w:r>
        <w:rPr>
          <w:spacing w:val="-8"/>
        </w:rPr>
        <w:t> </w:t>
      </w:r>
      <w:r>
        <w:rPr/>
        <w:t>with</w:t>
      </w:r>
      <w:r>
        <w:rPr>
          <w:spacing w:val="-7"/>
        </w:rPr>
        <w:t> </w:t>
      </w:r>
      <w:r>
        <w:rPr/>
        <w:t>significant</w:t>
      </w:r>
      <w:r>
        <w:rPr>
          <w:spacing w:val="-9"/>
        </w:rPr>
        <w:t> </w:t>
      </w:r>
      <w:r>
        <w:rPr/>
        <w:t>multinational</w:t>
      </w:r>
      <w:r>
        <w:rPr>
          <w:spacing w:val="-7"/>
        </w:rPr>
        <w:t> </w:t>
      </w:r>
      <w:r>
        <w:rPr/>
        <w:t>presence.</w:t>
      </w:r>
      <w:r>
        <w:rPr>
          <w:spacing w:val="-7"/>
        </w:rPr>
        <w:t> </w:t>
      </w:r>
      <w:r>
        <w:rPr/>
        <w:t>Kenya</w:t>
      </w:r>
      <w:r>
        <w:rPr>
          <w:spacing w:val="-8"/>
        </w:rPr>
        <w:t> </w:t>
      </w:r>
      <w:r>
        <w:rPr/>
        <w:t>and</w:t>
      </w:r>
      <w:r>
        <w:rPr>
          <w:spacing w:val="-8"/>
        </w:rPr>
        <w:t> </w:t>
      </w:r>
      <w:r>
        <w:rPr/>
        <w:t>Ghana</w:t>
      </w:r>
      <w:r>
        <w:rPr>
          <w:spacing w:val="-8"/>
        </w:rPr>
        <w:t> </w:t>
      </w:r>
      <w:r>
        <w:rPr/>
        <w:t>represent</w:t>
      </w:r>
      <w:r>
        <w:rPr>
          <w:spacing w:val="-7"/>
        </w:rPr>
        <w:t> </w:t>
      </w:r>
      <w:r>
        <w:rPr/>
        <w:t>rapidly expanding</w:t>
      </w:r>
      <w:r>
        <w:rPr>
          <w:spacing w:val="-6"/>
        </w:rPr>
        <w:t> </w:t>
      </w:r>
      <w:r>
        <w:rPr/>
        <w:t>markets</w:t>
      </w:r>
      <w:r>
        <w:rPr>
          <w:spacing w:val="-7"/>
        </w:rPr>
        <w:t> </w:t>
      </w:r>
      <w:r>
        <w:rPr/>
        <w:t>with</w:t>
      </w:r>
      <w:r>
        <w:rPr>
          <w:spacing w:val="-8"/>
        </w:rPr>
        <w:t> </w:t>
      </w:r>
      <w:r>
        <w:rPr/>
        <w:t>growing</w:t>
      </w:r>
      <w:r>
        <w:rPr>
          <w:spacing w:val="-8"/>
        </w:rPr>
        <w:t> </w:t>
      </w:r>
      <w:r>
        <w:rPr/>
        <w:t>investor</w:t>
      </w:r>
      <w:r>
        <w:rPr>
          <w:spacing w:val="-9"/>
        </w:rPr>
        <w:t> </w:t>
      </w:r>
      <w:r>
        <w:rPr/>
        <w:t>interest</w:t>
      </w:r>
      <w:r>
        <w:rPr>
          <w:spacing w:val="-7"/>
        </w:rPr>
        <w:t> </w:t>
      </w:r>
      <w:r>
        <w:rPr/>
        <w:t>and</w:t>
      </w:r>
      <w:r>
        <w:rPr>
          <w:spacing w:val="-8"/>
        </w:rPr>
        <w:t> </w:t>
      </w:r>
      <w:r>
        <w:rPr/>
        <w:t>financial</w:t>
      </w:r>
      <w:r>
        <w:rPr>
          <w:spacing w:val="-9"/>
        </w:rPr>
        <w:t> </w:t>
      </w:r>
      <w:r>
        <w:rPr/>
        <w:t>sector</w:t>
      </w:r>
      <w:r>
        <w:rPr>
          <w:spacing w:val="-7"/>
        </w:rPr>
        <w:t> </w:t>
      </w:r>
      <w:r>
        <w:rPr/>
        <w:t>innovation.</w:t>
      </w:r>
      <w:r>
        <w:rPr>
          <w:spacing w:val="-8"/>
        </w:rPr>
        <w:t> </w:t>
      </w:r>
      <w:r>
        <w:rPr/>
        <w:t>Tanzania</w:t>
      </w:r>
      <w:r>
        <w:rPr>
          <w:spacing w:val="-7"/>
        </w:rPr>
        <w:t> </w:t>
      </w:r>
      <w:r>
        <w:rPr/>
        <w:t>and</w:t>
      </w:r>
      <w:r>
        <w:rPr>
          <w:spacing w:val="-8"/>
        </w:rPr>
        <w:t> </w:t>
      </w:r>
      <w:r>
        <w:rPr/>
        <w:t>Uganda</w:t>
      </w:r>
      <w:r>
        <w:rPr>
          <w:spacing w:val="-7"/>
        </w:rPr>
        <w:t> </w:t>
      </w:r>
      <w:r>
        <w:rPr/>
        <w:t>offer</w:t>
      </w:r>
      <w:r>
        <w:rPr>
          <w:spacing w:val="-9"/>
        </w:rPr>
        <w:t> </w:t>
      </w:r>
      <w:r>
        <w:rPr/>
        <w:t>insights</w:t>
      </w:r>
      <w:r>
        <w:rPr>
          <w:spacing w:val="-9"/>
        </w:rPr>
        <w:t> </w:t>
      </w:r>
      <w:r>
        <w:rPr/>
        <w:t>into</w:t>
      </w:r>
      <w:r>
        <w:rPr>
          <w:spacing w:val="-6"/>
        </w:rPr>
        <w:t> </w:t>
      </w:r>
      <w:r>
        <w:rPr/>
        <w:t>economies</w:t>
      </w:r>
      <w:r>
        <w:rPr>
          <w:spacing w:val="-10"/>
        </w:rPr>
        <w:t> </w:t>
      </w:r>
      <w:r>
        <w:rPr/>
        <w:t>where institutional frameworks are consolidating, while Côte d’Ivoire reflects the francophone West African experience, operating within the OHADA harmonized legal environment. By situating the study across this cross-section of economies, the research aspires to illuminate how cash flow information is perceived in different market and institutional contexts.</w:t>
      </w:r>
    </w:p>
    <w:p>
      <w:pPr>
        <w:pStyle w:val="Heading2"/>
        <w:numPr>
          <w:ilvl w:val="0"/>
          <w:numId w:val="2"/>
        </w:numPr>
        <w:tabs>
          <w:tab w:pos="589" w:val="left" w:leader="none"/>
        </w:tabs>
        <w:spacing w:line="240" w:lineRule="auto" w:before="141" w:after="0"/>
        <w:ind w:left="589" w:right="0" w:hanging="220"/>
        <w:jc w:val="both"/>
      </w:pPr>
      <w:r>
        <w:rPr/>
        <w:t>Literature</w:t>
      </w:r>
      <w:r>
        <w:rPr>
          <w:spacing w:val="-6"/>
        </w:rPr>
        <w:t> </w:t>
      </w:r>
      <w:r>
        <w:rPr/>
        <w:t>Review</w:t>
      </w:r>
      <w:r>
        <w:rPr>
          <w:spacing w:val="-4"/>
        </w:rPr>
        <w:t> </w:t>
      </w:r>
      <w:r>
        <w:rPr/>
        <w:t>and</w:t>
      </w:r>
      <w:r>
        <w:rPr>
          <w:spacing w:val="-8"/>
        </w:rPr>
        <w:t> </w:t>
      </w:r>
      <w:r>
        <w:rPr/>
        <w:t>Hypothesis</w:t>
      </w:r>
      <w:r>
        <w:rPr>
          <w:spacing w:val="-5"/>
        </w:rPr>
        <w:t> </w:t>
      </w:r>
      <w:r>
        <w:rPr>
          <w:spacing w:val="-2"/>
        </w:rPr>
        <w:t>Testing</w:t>
      </w:r>
    </w:p>
    <w:p>
      <w:pPr>
        <w:pStyle w:val="BodyText"/>
        <w:spacing w:before="58"/>
        <w:ind w:right="363"/>
      </w:pPr>
      <w:r>
        <w:rPr/>
        <w:t>The value relevance of accounting information refers to the extent to which financial data is reflected in share prices, thereby guiding investor</w:t>
      </w:r>
      <w:r>
        <w:rPr>
          <w:spacing w:val="-3"/>
        </w:rPr>
        <w:t> </w:t>
      </w:r>
      <w:r>
        <w:rPr/>
        <w:t>decisions</w:t>
      </w:r>
      <w:r>
        <w:rPr>
          <w:spacing w:val="-2"/>
        </w:rPr>
        <w:t> </w:t>
      </w:r>
      <w:r>
        <w:rPr/>
        <w:t>(Francis</w:t>
      </w:r>
      <w:r>
        <w:rPr>
          <w:spacing w:val="-2"/>
        </w:rPr>
        <w:t> </w:t>
      </w:r>
      <w:r>
        <w:rPr/>
        <w:t>et</w:t>
      </w:r>
      <w:r>
        <w:rPr>
          <w:spacing w:val="-1"/>
        </w:rPr>
        <w:t> </w:t>
      </w:r>
      <w:r>
        <w:rPr/>
        <w:t>al.,</w:t>
      </w:r>
      <w:r>
        <w:rPr>
          <w:spacing w:val="-3"/>
        </w:rPr>
        <w:t> </w:t>
      </w:r>
      <w:r>
        <w:rPr/>
        <w:t>2004).</w:t>
      </w:r>
      <w:r>
        <w:rPr>
          <w:spacing w:val="-1"/>
        </w:rPr>
        <w:t> </w:t>
      </w:r>
      <w:r>
        <w:rPr/>
        <w:t>It</w:t>
      </w:r>
      <w:r>
        <w:rPr>
          <w:spacing w:val="-1"/>
        </w:rPr>
        <w:t> </w:t>
      </w:r>
      <w:r>
        <w:rPr/>
        <w:t>is</w:t>
      </w:r>
      <w:r>
        <w:rPr>
          <w:spacing w:val="-2"/>
        </w:rPr>
        <w:t> </w:t>
      </w:r>
      <w:r>
        <w:rPr/>
        <w:t>often examined through incremental</w:t>
      </w:r>
      <w:r>
        <w:rPr>
          <w:spacing w:val="-1"/>
        </w:rPr>
        <w:t> </w:t>
      </w:r>
      <w:r>
        <w:rPr/>
        <w:t>approaches,</w:t>
      </w:r>
      <w:r>
        <w:rPr>
          <w:spacing w:val="-1"/>
        </w:rPr>
        <w:t> </w:t>
      </w:r>
      <w:r>
        <w:rPr/>
        <w:t>which evaluate</w:t>
      </w:r>
      <w:r>
        <w:rPr>
          <w:spacing w:val="-1"/>
        </w:rPr>
        <w:t> </w:t>
      </w:r>
      <w:r>
        <w:rPr/>
        <w:t>the</w:t>
      </w:r>
      <w:r>
        <w:rPr>
          <w:spacing w:val="-2"/>
        </w:rPr>
        <w:t> </w:t>
      </w:r>
      <w:r>
        <w:rPr/>
        <w:t>added explanatory</w:t>
      </w:r>
      <w:r>
        <w:rPr>
          <w:spacing w:val="-2"/>
        </w:rPr>
        <w:t> </w:t>
      </w:r>
      <w:r>
        <w:rPr/>
        <w:t>power of a variable, or relative approaches, which compare the contribution of different measures. From the standpoint of the efficient market hypothesis (EMH), financial disclosures are presumed to be promptly incorporated into stock prices, with negative news tending to exert a stronger influence on investor behavior than positive signals. Robu &amp; Dănilă (2018), for instance, highlighted the tendency of investors to seek hedging assets such as Bitcoin in response to unfavorable market developments. The cash flow statement, governed by IAS 7, consolidates information on operational, investment, and financing activities, thereby presenting a comprehensive picture of liquidity generation and utilization (Toma, 2018). Operating cash flows reflect receipts and outflows linked to core business activities; investment cash flows capture capital expenditures and returns from asset management; and financing cash flows encompass</w:t>
      </w:r>
      <w:r>
        <w:rPr>
          <w:spacing w:val="-1"/>
        </w:rPr>
        <w:t> </w:t>
      </w:r>
      <w:r>
        <w:rPr/>
        <w:t>borrowings, repayments, and</w:t>
      </w:r>
      <w:r>
        <w:rPr>
          <w:spacing w:val="-2"/>
        </w:rPr>
        <w:t> </w:t>
      </w:r>
      <w:r>
        <w:rPr/>
        <w:t>equity</w:t>
      </w:r>
      <w:r>
        <w:rPr>
          <w:spacing w:val="-2"/>
        </w:rPr>
        <w:t> </w:t>
      </w:r>
      <w:r>
        <w:rPr/>
        <w:t>transactions.</w:t>
      </w:r>
      <w:r>
        <w:rPr>
          <w:spacing w:val="-3"/>
        </w:rPr>
        <w:t> </w:t>
      </w:r>
      <w:r>
        <w:rPr/>
        <w:t>The</w:t>
      </w:r>
      <w:r>
        <w:rPr>
          <w:spacing w:val="-4"/>
        </w:rPr>
        <w:t> </w:t>
      </w:r>
      <w:r>
        <w:rPr/>
        <w:t>overall</w:t>
      </w:r>
      <w:r>
        <w:rPr>
          <w:spacing w:val="-3"/>
        </w:rPr>
        <w:t> </w:t>
      </w:r>
      <w:r>
        <w:rPr/>
        <w:t>net</w:t>
      </w:r>
      <w:r>
        <w:rPr>
          <w:spacing w:val="-3"/>
        </w:rPr>
        <w:t> </w:t>
      </w:r>
      <w:r>
        <w:rPr/>
        <w:t>cash</w:t>
      </w:r>
      <w:r>
        <w:rPr>
          <w:spacing w:val="-3"/>
        </w:rPr>
        <w:t> </w:t>
      </w:r>
      <w:r>
        <w:rPr/>
        <w:t>flow</w:t>
      </w:r>
      <w:r>
        <w:rPr>
          <w:spacing w:val="-4"/>
        </w:rPr>
        <w:t> </w:t>
      </w:r>
      <w:r>
        <w:rPr/>
        <w:t>provides</w:t>
      </w:r>
      <w:r>
        <w:rPr>
          <w:spacing w:val="-4"/>
        </w:rPr>
        <w:t> </w:t>
      </w:r>
      <w:r>
        <w:rPr/>
        <w:t>a</w:t>
      </w:r>
      <w:r>
        <w:rPr>
          <w:spacing w:val="-4"/>
        </w:rPr>
        <w:t> </w:t>
      </w:r>
      <w:r>
        <w:rPr/>
        <w:t>snapshot</w:t>
      </w:r>
      <w:r>
        <w:rPr>
          <w:spacing w:val="-3"/>
        </w:rPr>
        <w:t> </w:t>
      </w:r>
      <w:r>
        <w:rPr/>
        <w:t>of</w:t>
      </w:r>
      <w:r>
        <w:rPr>
          <w:spacing w:val="-3"/>
        </w:rPr>
        <w:t> </w:t>
      </w:r>
      <w:r>
        <w:rPr/>
        <w:t>liquidity</w:t>
      </w:r>
      <w:r>
        <w:rPr>
          <w:spacing w:val="-2"/>
        </w:rPr>
        <w:t> </w:t>
      </w:r>
      <w:r>
        <w:rPr/>
        <w:t>at</w:t>
      </w:r>
      <w:r>
        <w:rPr>
          <w:spacing w:val="-3"/>
        </w:rPr>
        <w:t> </w:t>
      </w:r>
      <w:r>
        <w:rPr/>
        <w:t>a</w:t>
      </w:r>
      <w:r>
        <w:rPr>
          <w:spacing w:val="-4"/>
        </w:rPr>
        <w:t> </w:t>
      </w:r>
      <w:r>
        <w:rPr/>
        <w:t>given</w:t>
      </w:r>
      <w:r>
        <w:rPr>
          <w:spacing w:val="-2"/>
        </w:rPr>
        <w:t> </w:t>
      </w:r>
      <w:r>
        <w:rPr/>
        <w:t>point</w:t>
      </w:r>
      <w:r>
        <w:rPr>
          <w:spacing w:val="-3"/>
        </w:rPr>
        <w:t> </w:t>
      </w:r>
      <w:r>
        <w:rPr/>
        <w:t>in</w:t>
      </w:r>
      <w:r>
        <w:rPr>
          <w:spacing w:val="-5"/>
        </w:rPr>
        <w:t> </w:t>
      </w:r>
      <w:r>
        <w:rPr/>
        <w:t>time.</w:t>
      </w:r>
      <w:r>
        <w:rPr>
          <w:spacing w:val="-3"/>
        </w:rPr>
        <w:t> </w:t>
      </w:r>
      <w:r>
        <w:rPr/>
        <w:t>Persistent</w:t>
      </w:r>
      <w:r>
        <w:rPr>
          <w:spacing w:val="-3"/>
        </w:rPr>
        <w:t> </w:t>
      </w:r>
      <w:r>
        <w:rPr/>
        <w:t>negative</w:t>
      </w:r>
      <w:r>
        <w:rPr>
          <w:spacing w:val="-4"/>
        </w:rPr>
        <w:t> </w:t>
      </w:r>
      <w:r>
        <w:rPr/>
        <w:t>balances</w:t>
      </w:r>
      <w:r>
        <w:rPr>
          <w:spacing w:val="-4"/>
        </w:rPr>
        <w:t> </w:t>
      </w:r>
      <w:r>
        <w:rPr/>
        <w:t>may necessitate short-term borrowing or, in extreme cases, threaten business continuity.</w:t>
      </w:r>
    </w:p>
    <w:p>
      <w:pPr>
        <w:pStyle w:val="Heading3"/>
        <w:numPr>
          <w:ilvl w:val="1"/>
          <w:numId w:val="2"/>
        </w:numPr>
        <w:tabs>
          <w:tab w:pos="719" w:val="left" w:leader="none"/>
        </w:tabs>
        <w:spacing w:line="240" w:lineRule="auto" w:before="103" w:after="0"/>
        <w:ind w:left="719" w:right="0" w:hanging="350"/>
        <w:jc w:val="both"/>
      </w:pPr>
      <w:r>
        <w:rPr/>
        <w:t>Free</w:t>
      </w:r>
      <w:r>
        <w:rPr>
          <w:spacing w:val="-5"/>
        </w:rPr>
        <w:t> </w:t>
      </w:r>
      <w:r>
        <w:rPr/>
        <w:t>Cash</w:t>
      </w:r>
      <w:r>
        <w:rPr>
          <w:spacing w:val="-6"/>
        </w:rPr>
        <w:t> </w:t>
      </w:r>
      <w:r>
        <w:rPr/>
        <w:t>Flow</w:t>
      </w:r>
      <w:r>
        <w:rPr>
          <w:spacing w:val="-5"/>
        </w:rPr>
        <w:t> </w:t>
      </w:r>
      <w:r>
        <w:rPr/>
        <w:t>and</w:t>
      </w:r>
      <w:r>
        <w:rPr>
          <w:spacing w:val="-6"/>
        </w:rPr>
        <w:t> </w:t>
      </w:r>
      <w:r>
        <w:rPr/>
        <w:t>Market</w:t>
      </w:r>
      <w:r>
        <w:rPr>
          <w:spacing w:val="-4"/>
        </w:rPr>
        <w:t> </w:t>
      </w:r>
      <w:r>
        <w:rPr>
          <w:spacing w:val="-2"/>
        </w:rPr>
        <w:t>Value</w:t>
      </w:r>
    </w:p>
    <w:p>
      <w:pPr>
        <w:pStyle w:val="BodyText"/>
        <w:spacing w:before="60"/>
        <w:ind w:right="364"/>
      </w:pPr>
      <w:r>
        <w:rPr/>
        <w:t>Free cash flow (FCF), defined as cash generated after accounting for necessary capital expenditure, is widely considered a critical determinant of shareholder wealth. It reflects the capacity of firms to distribute dividends, retire debt, or reinvest in profitable ventures. Empirical</w:t>
      </w:r>
      <w:r>
        <w:rPr>
          <w:spacing w:val="-7"/>
        </w:rPr>
        <w:t> </w:t>
      </w:r>
      <w:r>
        <w:rPr/>
        <w:t>studies</w:t>
      </w:r>
      <w:r>
        <w:rPr>
          <w:spacing w:val="-8"/>
        </w:rPr>
        <w:t> </w:t>
      </w:r>
      <w:r>
        <w:rPr/>
        <w:t>underscore</w:t>
      </w:r>
      <w:r>
        <w:rPr>
          <w:spacing w:val="-8"/>
        </w:rPr>
        <w:t> </w:t>
      </w:r>
      <w:r>
        <w:rPr/>
        <w:t>its</w:t>
      </w:r>
      <w:r>
        <w:rPr>
          <w:spacing w:val="-8"/>
        </w:rPr>
        <w:t> </w:t>
      </w:r>
      <w:r>
        <w:rPr/>
        <w:t>relevance:</w:t>
      </w:r>
      <w:r>
        <w:rPr>
          <w:spacing w:val="-7"/>
        </w:rPr>
        <w:t> </w:t>
      </w:r>
      <w:r>
        <w:rPr/>
        <w:t>Baas</w:t>
      </w:r>
      <w:r>
        <w:rPr>
          <w:spacing w:val="-8"/>
        </w:rPr>
        <w:t> </w:t>
      </w:r>
      <w:r>
        <w:rPr/>
        <w:t>et</w:t>
      </w:r>
      <w:r>
        <w:rPr>
          <w:spacing w:val="-7"/>
        </w:rPr>
        <w:t> </w:t>
      </w:r>
      <w:r>
        <w:rPr/>
        <w:t>al.</w:t>
      </w:r>
      <w:r>
        <w:rPr>
          <w:spacing w:val="-7"/>
        </w:rPr>
        <w:t> </w:t>
      </w:r>
      <w:r>
        <w:rPr/>
        <w:t>(2017)</w:t>
      </w:r>
      <w:r>
        <w:rPr>
          <w:spacing w:val="-8"/>
        </w:rPr>
        <w:t> </w:t>
      </w:r>
      <w:r>
        <w:rPr/>
        <w:t>and</w:t>
      </w:r>
      <w:r>
        <w:rPr>
          <w:spacing w:val="-7"/>
        </w:rPr>
        <w:t> </w:t>
      </w:r>
      <w:r>
        <w:rPr/>
        <w:t>Jensen</w:t>
      </w:r>
      <w:r>
        <w:rPr>
          <w:spacing w:val="-7"/>
        </w:rPr>
        <w:t> </w:t>
      </w:r>
      <w:r>
        <w:rPr/>
        <w:t>(2019)</w:t>
      </w:r>
      <w:r>
        <w:rPr>
          <w:spacing w:val="-9"/>
        </w:rPr>
        <w:t> </w:t>
      </w:r>
      <w:r>
        <w:rPr/>
        <w:t>both</w:t>
      </w:r>
      <w:r>
        <w:rPr>
          <w:spacing w:val="-7"/>
        </w:rPr>
        <w:t> </w:t>
      </w:r>
      <w:r>
        <w:rPr/>
        <w:t>reported</w:t>
      </w:r>
      <w:r>
        <w:rPr>
          <w:spacing w:val="-9"/>
        </w:rPr>
        <w:t> </w:t>
      </w:r>
      <w:r>
        <w:rPr/>
        <w:t>positive</w:t>
      </w:r>
      <w:r>
        <w:rPr>
          <w:spacing w:val="-8"/>
        </w:rPr>
        <w:t> </w:t>
      </w:r>
      <w:r>
        <w:rPr/>
        <w:t>correlations</w:t>
      </w:r>
      <w:r>
        <w:rPr>
          <w:spacing w:val="-10"/>
        </w:rPr>
        <w:t> </w:t>
      </w:r>
      <w:r>
        <w:rPr/>
        <w:t>between</w:t>
      </w:r>
      <w:r>
        <w:rPr>
          <w:spacing w:val="-2"/>
        </w:rPr>
        <w:t> </w:t>
      </w:r>
      <w:r>
        <w:rPr/>
        <w:t>FCF</w:t>
      </w:r>
      <w:r>
        <w:rPr>
          <w:spacing w:val="-9"/>
        </w:rPr>
        <w:t> </w:t>
      </w:r>
      <w:r>
        <w:rPr/>
        <w:t>and</w:t>
      </w:r>
      <w:r>
        <w:rPr>
          <w:spacing w:val="-10"/>
        </w:rPr>
        <w:t> </w:t>
      </w:r>
      <w:r>
        <w:rPr/>
        <w:t>market valuation, particularly in emerging and consumer goods markets where consistent cash flows underpin growth. In Nigeria, Olowe et al. (2018) found</w:t>
      </w:r>
      <w:r>
        <w:rPr>
          <w:spacing w:val="-1"/>
        </w:rPr>
        <w:t> </w:t>
      </w:r>
      <w:r>
        <w:rPr/>
        <w:t>that firms with robust FCF tended to command</w:t>
      </w:r>
      <w:r>
        <w:rPr>
          <w:spacing w:val="-1"/>
        </w:rPr>
        <w:t> </w:t>
      </w:r>
      <w:r>
        <w:rPr/>
        <w:t>higher valuations.</w:t>
      </w:r>
      <w:r>
        <w:rPr>
          <w:spacing w:val="-2"/>
        </w:rPr>
        <w:t> </w:t>
      </w:r>
      <w:r>
        <w:rPr/>
        <w:t>Similar insights</w:t>
      </w:r>
      <w:r>
        <w:rPr>
          <w:spacing w:val="-3"/>
        </w:rPr>
        <w:t> </w:t>
      </w:r>
      <w:r>
        <w:rPr/>
        <w:t>have emerged from Akadakpo &amp; Mgbame (2018),</w:t>
      </w:r>
      <w:r>
        <w:rPr>
          <w:spacing w:val="-3"/>
        </w:rPr>
        <w:t> </w:t>
      </w:r>
      <w:r>
        <w:rPr/>
        <w:t>Oliveira</w:t>
      </w:r>
      <w:r>
        <w:rPr>
          <w:spacing w:val="-4"/>
        </w:rPr>
        <w:t> </w:t>
      </w:r>
      <w:r>
        <w:rPr/>
        <w:t>et</w:t>
      </w:r>
      <w:r>
        <w:rPr>
          <w:spacing w:val="-3"/>
        </w:rPr>
        <w:t> </w:t>
      </w:r>
      <w:r>
        <w:rPr/>
        <w:t>al.</w:t>
      </w:r>
      <w:r>
        <w:rPr>
          <w:spacing w:val="-3"/>
        </w:rPr>
        <w:t> </w:t>
      </w:r>
      <w:r>
        <w:rPr/>
        <w:t>(2020),</w:t>
      </w:r>
      <w:r>
        <w:rPr>
          <w:spacing w:val="-3"/>
        </w:rPr>
        <w:t> </w:t>
      </w:r>
      <w:r>
        <w:rPr/>
        <w:t>and</w:t>
      </w:r>
      <w:r>
        <w:rPr>
          <w:spacing w:val="-5"/>
        </w:rPr>
        <w:t> </w:t>
      </w:r>
      <w:r>
        <w:rPr/>
        <w:t>Venugopala,</w:t>
      </w:r>
      <w:r>
        <w:rPr>
          <w:spacing w:val="-3"/>
        </w:rPr>
        <w:t> </w:t>
      </w:r>
      <w:r>
        <w:rPr/>
        <w:t>Ibrahim,</w:t>
      </w:r>
      <w:r>
        <w:rPr>
          <w:spacing w:val="-3"/>
        </w:rPr>
        <w:t> </w:t>
      </w:r>
      <w:r>
        <w:rPr/>
        <w:t>&amp;</w:t>
      </w:r>
      <w:r>
        <w:rPr>
          <w:spacing w:val="-4"/>
        </w:rPr>
        <w:t> </w:t>
      </w:r>
      <w:r>
        <w:rPr/>
        <w:t>Mani</w:t>
      </w:r>
      <w:r>
        <w:rPr>
          <w:spacing w:val="-3"/>
        </w:rPr>
        <w:t> </w:t>
      </w:r>
      <w:r>
        <w:rPr/>
        <w:t>(2023).</w:t>
      </w:r>
      <w:r>
        <w:rPr>
          <w:spacing w:val="-3"/>
        </w:rPr>
        <w:t> </w:t>
      </w:r>
      <w:r>
        <w:rPr/>
        <w:t>In</w:t>
      </w:r>
      <w:r>
        <w:rPr>
          <w:spacing w:val="-5"/>
        </w:rPr>
        <w:t> </w:t>
      </w:r>
      <w:r>
        <w:rPr/>
        <w:t>the</w:t>
      </w:r>
      <w:r>
        <w:rPr>
          <w:spacing w:val="-4"/>
        </w:rPr>
        <w:t> </w:t>
      </w:r>
      <w:r>
        <w:rPr/>
        <w:t>Sub-Saharan</w:t>
      </w:r>
      <w:r>
        <w:rPr>
          <w:spacing w:val="-2"/>
        </w:rPr>
        <w:t> </w:t>
      </w:r>
      <w:r>
        <w:rPr/>
        <w:t>African</w:t>
      </w:r>
      <w:r>
        <w:rPr>
          <w:spacing w:val="-5"/>
        </w:rPr>
        <w:t> </w:t>
      </w:r>
      <w:r>
        <w:rPr/>
        <w:t>context,</w:t>
      </w:r>
      <w:r>
        <w:rPr>
          <w:spacing w:val="-5"/>
        </w:rPr>
        <w:t> </w:t>
      </w:r>
      <w:r>
        <w:rPr/>
        <w:t>the</w:t>
      </w:r>
      <w:r>
        <w:rPr>
          <w:spacing w:val="-4"/>
        </w:rPr>
        <w:t> </w:t>
      </w:r>
      <w:r>
        <w:rPr/>
        <w:t>role</w:t>
      </w:r>
      <w:r>
        <w:rPr>
          <w:spacing w:val="-4"/>
        </w:rPr>
        <w:t> </w:t>
      </w:r>
      <w:r>
        <w:rPr/>
        <w:t>of</w:t>
      </w:r>
      <w:r>
        <w:rPr>
          <w:spacing w:val="-3"/>
        </w:rPr>
        <w:t> </w:t>
      </w:r>
      <w:r>
        <w:rPr/>
        <w:t>FCF</w:t>
      </w:r>
      <w:r>
        <w:rPr>
          <w:spacing w:val="-3"/>
        </w:rPr>
        <w:t> </w:t>
      </w:r>
      <w:r>
        <w:rPr/>
        <w:t>is</w:t>
      </w:r>
      <w:r>
        <w:rPr>
          <w:spacing w:val="-3"/>
        </w:rPr>
        <w:t> </w:t>
      </w:r>
      <w:r>
        <w:rPr/>
        <w:t>conditioned by national differences. Nigeria’s oil-dependent economy heightens the volatility of cash generation, potentially amplifying the market’s sensitivity to FCF disclosures. South Africa’s mature financial markets may interpret FCF more predictably, aligning with international investor expectations. Kenya and Ghana, with expanding consumer sectors and vibrant stock exchanges, provide fertile ground for testing whether</w:t>
      </w:r>
      <w:r>
        <w:rPr>
          <w:spacing w:val="-2"/>
        </w:rPr>
        <w:t> </w:t>
      </w:r>
      <w:r>
        <w:rPr/>
        <w:t>FCF</w:t>
      </w:r>
      <w:r>
        <w:rPr>
          <w:spacing w:val="-4"/>
        </w:rPr>
        <w:t> </w:t>
      </w:r>
      <w:r>
        <w:rPr/>
        <w:t>signals</w:t>
      </w:r>
      <w:r>
        <w:rPr>
          <w:spacing w:val="-3"/>
        </w:rPr>
        <w:t> </w:t>
      </w:r>
      <w:r>
        <w:rPr/>
        <w:t>future</w:t>
      </w:r>
      <w:r>
        <w:rPr>
          <w:spacing w:val="-5"/>
        </w:rPr>
        <w:t> </w:t>
      </w:r>
      <w:r>
        <w:rPr/>
        <w:t>growth</w:t>
      </w:r>
      <w:r>
        <w:rPr>
          <w:spacing w:val="-1"/>
        </w:rPr>
        <w:t> </w:t>
      </w:r>
      <w:r>
        <w:rPr/>
        <w:t>potential.</w:t>
      </w:r>
      <w:r>
        <w:rPr>
          <w:spacing w:val="-4"/>
        </w:rPr>
        <w:t> </w:t>
      </w:r>
      <w:r>
        <w:rPr/>
        <w:t>Meanwhile,</w:t>
      </w:r>
      <w:r>
        <w:rPr>
          <w:spacing w:val="-4"/>
        </w:rPr>
        <w:t> </w:t>
      </w:r>
      <w:r>
        <w:rPr/>
        <w:t>in</w:t>
      </w:r>
      <w:r>
        <w:rPr>
          <w:spacing w:val="-3"/>
        </w:rPr>
        <w:t> </w:t>
      </w:r>
      <w:r>
        <w:rPr/>
        <w:t>Tanzania,</w:t>
      </w:r>
      <w:r>
        <w:rPr>
          <w:spacing w:val="-2"/>
        </w:rPr>
        <w:t> </w:t>
      </w:r>
      <w:r>
        <w:rPr/>
        <w:t>Uganda,</w:t>
      </w:r>
      <w:r>
        <w:rPr>
          <w:spacing w:val="-4"/>
        </w:rPr>
        <w:t> </w:t>
      </w:r>
      <w:r>
        <w:rPr/>
        <w:t>and</w:t>
      </w:r>
      <w:r>
        <w:rPr>
          <w:spacing w:val="-3"/>
        </w:rPr>
        <w:t> </w:t>
      </w:r>
      <w:r>
        <w:rPr/>
        <w:t>Côte</w:t>
      </w:r>
      <w:r>
        <w:rPr>
          <w:spacing w:val="-5"/>
        </w:rPr>
        <w:t> </w:t>
      </w:r>
      <w:r>
        <w:rPr/>
        <w:t>d’Ivoire,</w:t>
      </w:r>
      <w:r>
        <w:rPr>
          <w:spacing w:val="-4"/>
        </w:rPr>
        <w:t> </w:t>
      </w:r>
      <w:r>
        <w:rPr/>
        <w:t>where</w:t>
      </w:r>
      <w:r>
        <w:rPr>
          <w:spacing w:val="-3"/>
        </w:rPr>
        <w:t> </w:t>
      </w:r>
      <w:r>
        <w:rPr/>
        <w:t>capital</w:t>
      </w:r>
      <w:r>
        <w:rPr>
          <w:spacing w:val="-2"/>
        </w:rPr>
        <w:t> </w:t>
      </w:r>
      <w:r>
        <w:rPr/>
        <w:t>markets</w:t>
      </w:r>
      <w:r>
        <w:rPr>
          <w:spacing w:val="-3"/>
        </w:rPr>
        <w:t> </w:t>
      </w:r>
      <w:r>
        <w:rPr/>
        <w:t>are</w:t>
      </w:r>
      <w:r>
        <w:rPr>
          <w:spacing w:val="-3"/>
        </w:rPr>
        <w:t> </w:t>
      </w:r>
      <w:r>
        <w:rPr/>
        <w:t>comparatively less liquid and disclosure regimes evolving, investors may attach heightened value to transparent FCF reporting as a signal of resilience.</w:t>
      </w:r>
    </w:p>
    <w:p>
      <w:pPr>
        <w:pStyle w:val="BodyText"/>
        <w:spacing w:before="58"/>
        <w:ind w:right="364"/>
      </w:pPr>
      <w:r>
        <w:rPr>
          <w:b/>
        </w:rPr>
        <w:t>H1:</w:t>
      </w:r>
      <w:r>
        <w:rPr>
          <w:b/>
          <w:spacing w:val="-1"/>
        </w:rPr>
        <w:t> </w:t>
      </w:r>
      <w:r>
        <w:rPr/>
        <w:t>Free</w:t>
      </w:r>
      <w:r>
        <w:rPr>
          <w:spacing w:val="-2"/>
        </w:rPr>
        <w:t> </w:t>
      </w:r>
      <w:r>
        <w:rPr/>
        <w:t>cash</w:t>
      </w:r>
      <w:r>
        <w:rPr>
          <w:spacing w:val="-1"/>
        </w:rPr>
        <w:t> </w:t>
      </w:r>
      <w:r>
        <w:rPr/>
        <w:t>flow</w:t>
      </w:r>
      <w:r>
        <w:rPr>
          <w:spacing w:val="-2"/>
        </w:rPr>
        <w:t> </w:t>
      </w:r>
      <w:r>
        <w:rPr/>
        <w:t>has</w:t>
      </w:r>
      <w:r>
        <w:rPr>
          <w:spacing w:val="-2"/>
        </w:rPr>
        <w:t> </w:t>
      </w:r>
      <w:r>
        <w:rPr/>
        <w:t>no significant</w:t>
      </w:r>
      <w:r>
        <w:rPr>
          <w:spacing w:val="-1"/>
        </w:rPr>
        <w:t> </w:t>
      </w:r>
      <w:r>
        <w:rPr/>
        <w:t>effect</w:t>
      </w:r>
      <w:r>
        <w:rPr>
          <w:spacing w:val="-1"/>
        </w:rPr>
        <w:t> </w:t>
      </w:r>
      <w:r>
        <w:rPr/>
        <w:t>on the</w:t>
      </w:r>
      <w:r>
        <w:rPr>
          <w:spacing w:val="-2"/>
        </w:rPr>
        <w:t> </w:t>
      </w:r>
      <w:r>
        <w:rPr/>
        <w:t>market</w:t>
      </w:r>
      <w:r>
        <w:rPr>
          <w:spacing w:val="-1"/>
        </w:rPr>
        <w:t> </w:t>
      </w:r>
      <w:r>
        <w:rPr/>
        <w:t>value</w:t>
      </w:r>
      <w:r>
        <w:rPr>
          <w:spacing w:val="-2"/>
        </w:rPr>
        <w:t> </w:t>
      </w:r>
      <w:r>
        <w:rPr/>
        <w:t>of</w:t>
      </w:r>
      <w:r>
        <w:rPr>
          <w:spacing w:val="-3"/>
        </w:rPr>
        <w:t> </w:t>
      </w:r>
      <w:r>
        <w:rPr/>
        <w:t>selected multinational</w:t>
      </w:r>
      <w:r>
        <w:rPr>
          <w:spacing w:val="-1"/>
        </w:rPr>
        <w:t> </w:t>
      </w:r>
      <w:r>
        <w:rPr/>
        <w:t>companies</w:t>
      </w:r>
      <w:r>
        <w:rPr>
          <w:spacing w:val="-4"/>
        </w:rPr>
        <w:t> </w:t>
      </w:r>
      <w:r>
        <w:rPr/>
        <w:t>in Nigeria,</w:t>
      </w:r>
      <w:r>
        <w:rPr>
          <w:spacing w:val="-1"/>
        </w:rPr>
        <w:t> </w:t>
      </w:r>
      <w:r>
        <w:rPr/>
        <w:t>South Africa,</w:t>
      </w:r>
      <w:r>
        <w:rPr>
          <w:spacing w:val="-1"/>
        </w:rPr>
        <w:t> </w:t>
      </w:r>
      <w:r>
        <w:rPr/>
        <w:t>Kenya, Ghana, Tanzania, Uganda, and Côte d’Ivoire.</w:t>
      </w:r>
    </w:p>
    <w:p>
      <w:pPr>
        <w:pStyle w:val="Heading3"/>
        <w:numPr>
          <w:ilvl w:val="1"/>
          <w:numId w:val="2"/>
        </w:numPr>
        <w:tabs>
          <w:tab w:pos="719" w:val="left" w:leader="none"/>
        </w:tabs>
        <w:spacing w:line="240" w:lineRule="auto" w:before="103" w:after="0"/>
        <w:ind w:left="719" w:right="0" w:hanging="350"/>
        <w:jc w:val="both"/>
      </w:pPr>
      <w:r>
        <w:rPr/>
        <w:t>Capital</w:t>
      </w:r>
      <w:r>
        <w:rPr>
          <w:spacing w:val="-7"/>
        </w:rPr>
        <w:t> </w:t>
      </w:r>
      <w:r>
        <w:rPr/>
        <w:t>Expenditure</w:t>
      </w:r>
      <w:r>
        <w:rPr>
          <w:spacing w:val="-5"/>
        </w:rPr>
        <w:t> </w:t>
      </w:r>
      <w:r>
        <w:rPr/>
        <w:t>to</w:t>
      </w:r>
      <w:r>
        <w:rPr>
          <w:spacing w:val="-7"/>
        </w:rPr>
        <w:t> </w:t>
      </w:r>
      <w:r>
        <w:rPr/>
        <w:t>Cash</w:t>
      </w:r>
      <w:r>
        <w:rPr>
          <w:spacing w:val="-6"/>
        </w:rPr>
        <w:t> </w:t>
      </w:r>
      <w:r>
        <w:rPr/>
        <w:t>Flow</w:t>
      </w:r>
      <w:r>
        <w:rPr>
          <w:spacing w:val="-6"/>
        </w:rPr>
        <w:t> </w:t>
      </w:r>
      <w:r>
        <w:rPr/>
        <w:t>Ratio</w:t>
      </w:r>
      <w:r>
        <w:rPr>
          <w:spacing w:val="-4"/>
        </w:rPr>
        <w:t> </w:t>
      </w:r>
      <w:r>
        <w:rPr/>
        <w:t>and</w:t>
      </w:r>
      <w:r>
        <w:rPr>
          <w:spacing w:val="-7"/>
        </w:rPr>
        <w:t> </w:t>
      </w:r>
      <w:r>
        <w:rPr/>
        <w:t>Market</w:t>
      </w:r>
      <w:r>
        <w:rPr>
          <w:spacing w:val="-5"/>
        </w:rPr>
        <w:t> </w:t>
      </w:r>
      <w:r>
        <w:rPr>
          <w:spacing w:val="-2"/>
        </w:rPr>
        <w:t>Value</w:t>
      </w:r>
    </w:p>
    <w:p>
      <w:pPr>
        <w:pStyle w:val="BodyText"/>
        <w:spacing w:before="58"/>
        <w:ind w:right="362"/>
      </w:pPr>
      <w:r>
        <w:rPr/>
        <w:t>The</w:t>
      </w:r>
      <w:r>
        <w:rPr>
          <w:spacing w:val="-9"/>
        </w:rPr>
        <w:t> </w:t>
      </w:r>
      <w:r>
        <w:rPr/>
        <w:t>ratio</w:t>
      </w:r>
      <w:r>
        <w:rPr>
          <w:spacing w:val="-9"/>
        </w:rPr>
        <w:t> </w:t>
      </w:r>
      <w:r>
        <w:rPr/>
        <w:t>of</w:t>
      </w:r>
      <w:r>
        <w:rPr>
          <w:spacing w:val="-8"/>
        </w:rPr>
        <w:t> </w:t>
      </w:r>
      <w:r>
        <w:rPr/>
        <w:t>capital</w:t>
      </w:r>
      <w:r>
        <w:rPr>
          <w:spacing w:val="-8"/>
        </w:rPr>
        <w:t> </w:t>
      </w:r>
      <w:r>
        <w:rPr/>
        <w:t>expenditure</w:t>
      </w:r>
      <w:r>
        <w:rPr>
          <w:spacing w:val="-9"/>
        </w:rPr>
        <w:t> </w:t>
      </w:r>
      <w:r>
        <w:rPr/>
        <w:t>(CAPEX)</w:t>
      </w:r>
      <w:r>
        <w:rPr>
          <w:spacing w:val="-8"/>
        </w:rPr>
        <w:t> </w:t>
      </w:r>
      <w:r>
        <w:rPr/>
        <w:t>to</w:t>
      </w:r>
      <w:r>
        <w:rPr>
          <w:spacing w:val="-7"/>
        </w:rPr>
        <w:t> </w:t>
      </w:r>
      <w:r>
        <w:rPr/>
        <w:t>cash</w:t>
      </w:r>
      <w:r>
        <w:rPr>
          <w:spacing w:val="-8"/>
        </w:rPr>
        <w:t> </w:t>
      </w:r>
      <w:r>
        <w:rPr/>
        <w:t>flow</w:t>
      </w:r>
      <w:r>
        <w:rPr>
          <w:spacing w:val="-9"/>
        </w:rPr>
        <w:t> </w:t>
      </w:r>
      <w:r>
        <w:rPr/>
        <w:t>reveals</w:t>
      </w:r>
      <w:r>
        <w:rPr>
          <w:spacing w:val="-8"/>
        </w:rPr>
        <w:t> </w:t>
      </w:r>
      <w:r>
        <w:rPr/>
        <w:t>the</w:t>
      </w:r>
      <w:r>
        <w:rPr>
          <w:spacing w:val="-9"/>
        </w:rPr>
        <w:t> </w:t>
      </w:r>
      <w:r>
        <w:rPr/>
        <w:t>extent</w:t>
      </w:r>
      <w:r>
        <w:rPr>
          <w:spacing w:val="-8"/>
        </w:rPr>
        <w:t> </w:t>
      </w:r>
      <w:r>
        <w:rPr/>
        <w:t>of</w:t>
      </w:r>
      <w:r>
        <w:rPr>
          <w:spacing w:val="-8"/>
        </w:rPr>
        <w:t> </w:t>
      </w:r>
      <w:r>
        <w:rPr/>
        <w:t>reinvestment</w:t>
      </w:r>
      <w:r>
        <w:rPr>
          <w:spacing w:val="-8"/>
        </w:rPr>
        <w:t> </w:t>
      </w:r>
      <w:r>
        <w:rPr/>
        <w:t>in</w:t>
      </w:r>
      <w:r>
        <w:rPr>
          <w:spacing w:val="-7"/>
        </w:rPr>
        <w:t> </w:t>
      </w:r>
      <w:r>
        <w:rPr/>
        <w:t>long-term</w:t>
      </w:r>
      <w:r>
        <w:rPr>
          <w:spacing w:val="-9"/>
        </w:rPr>
        <w:t> </w:t>
      </w:r>
      <w:r>
        <w:rPr/>
        <w:t>assets.</w:t>
      </w:r>
      <w:r>
        <w:rPr>
          <w:spacing w:val="-8"/>
        </w:rPr>
        <w:t> </w:t>
      </w:r>
      <w:r>
        <w:rPr/>
        <w:t>A</w:t>
      </w:r>
      <w:r>
        <w:rPr>
          <w:spacing w:val="-9"/>
        </w:rPr>
        <w:t> </w:t>
      </w:r>
      <w:r>
        <w:rPr/>
        <w:t>prudent</w:t>
      </w:r>
      <w:r>
        <w:rPr>
          <w:spacing w:val="-8"/>
        </w:rPr>
        <w:t> </w:t>
      </w:r>
      <w:r>
        <w:rPr/>
        <w:t>balance</w:t>
      </w:r>
      <w:r>
        <w:rPr>
          <w:spacing w:val="-9"/>
        </w:rPr>
        <w:t> </w:t>
      </w:r>
      <w:r>
        <w:rPr/>
        <w:t>reflects strategic growth without undermining liquidity. Literature on emerging economies suggests that reinvestment often strengthens competitiveness, thereby enhancing valuations (Thomya et al., 2023). Yet, excessive CAPEX can also signal overextension, while insufficient investment may suggest stagnation.</w:t>
      </w:r>
    </w:p>
    <w:p>
      <w:pPr>
        <w:pStyle w:val="BodyText"/>
        <w:spacing w:before="60"/>
        <w:ind w:right="363"/>
      </w:pPr>
      <w:r>
        <w:rPr/>
        <w:t>In South Africa, where capital markets are more sophisticated, investors may interpret CAPEX signals within established</w:t>
      </w:r>
      <w:r>
        <w:rPr>
          <w:spacing w:val="-1"/>
        </w:rPr>
        <w:t> </w:t>
      </w:r>
      <w:r>
        <w:rPr/>
        <w:t>frameworks of long-term growth and corporate governance. In Nigeria and Ghana, where infrastructure deficits and high capital intensity characterize consumer</w:t>
      </w:r>
      <w:r>
        <w:rPr>
          <w:spacing w:val="-12"/>
        </w:rPr>
        <w:t> </w:t>
      </w:r>
      <w:r>
        <w:rPr/>
        <w:t>goods</w:t>
      </w:r>
      <w:r>
        <w:rPr>
          <w:spacing w:val="-11"/>
        </w:rPr>
        <w:t> </w:t>
      </w:r>
      <w:r>
        <w:rPr/>
        <w:t>industries,</w:t>
      </w:r>
      <w:r>
        <w:rPr>
          <w:spacing w:val="-11"/>
        </w:rPr>
        <w:t> </w:t>
      </w:r>
      <w:r>
        <w:rPr/>
        <w:t>the</w:t>
      </w:r>
      <w:r>
        <w:rPr>
          <w:spacing w:val="-11"/>
        </w:rPr>
        <w:t> </w:t>
      </w:r>
      <w:r>
        <w:rPr/>
        <w:t>ratio</w:t>
      </w:r>
      <w:r>
        <w:rPr>
          <w:spacing w:val="-12"/>
        </w:rPr>
        <w:t> </w:t>
      </w:r>
      <w:r>
        <w:rPr/>
        <w:t>may</w:t>
      </w:r>
      <w:r>
        <w:rPr>
          <w:spacing w:val="-11"/>
        </w:rPr>
        <w:t> </w:t>
      </w:r>
      <w:r>
        <w:rPr/>
        <w:t>carry</w:t>
      </w:r>
      <w:r>
        <w:rPr>
          <w:spacing w:val="-11"/>
        </w:rPr>
        <w:t> </w:t>
      </w:r>
      <w:r>
        <w:rPr/>
        <w:t>added</w:t>
      </w:r>
      <w:r>
        <w:rPr>
          <w:spacing w:val="-11"/>
        </w:rPr>
        <w:t> </w:t>
      </w:r>
      <w:r>
        <w:rPr/>
        <w:t>weight</w:t>
      </w:r>
      <w:r>
        <w:rPr>
          <w:spacing w:val="-12"/>
        </w:rPr>
        <w:t> </w:t>
      </w:r>
      <w:r>
        <w:rPr/>
        <w:t>as</w:t>
      </w:r>
      <w:r>
        <w:rPr>
          <w:spacing w:val="-11"/>
        </w:rPr>
        <w:t> </w:t>
      </w:r>
      <w:r>
        <w:rPr/>
        <w:t>an</w:t>
      </w:r>
      <w:r>
        <w:rPr>
          <w:spacing w:val="-11"/>
        </w:rPr>
        <w:t> </w:t>
      </w:r>
      <w:r>
        <w:rPr/>
        <w:t>indicator</w:t>
      </w:r>
      <w:r>
        <w:rPr>
          <w:spacing w:val="-11"/>
        </w:rPr>
        <w:t> </w:t>
      </w:r>
      <w:r>
        <w:rPr/>
        <w:t>of</w:t>
      </w:r>
      <w:r>
        <w:rPr>
          <w:spacing w:val="-12"/>
        </w:rPr>
        <w:t> </w:t>
      </w:r>
      <w:r>
        <w:rPr/>
        <w:t>sustainable</w:t>
      </w:r>
      <w:r>
        <w:rPr>
          <w:spacing w:val="-11"/>
        </w:rPr>
        <w:t> </w:t>
      </w:r>
      <w:r>
        <w:rPr/>
        <w:t>expansion.</w:t>
      </w:r>
      <w:r>
        <w:rPr>
          <w:spacing w:val="-11"/>
        </w:rPr>
        <w:t> </w:t>
      </w:r>
      <w:r>
        <w:rPr/>
        <w:t>In</w:t>
      </w:r>
      <w:r>
        <w:rPr>
          <w:spacing w:val="-10"/>
        </w:rPr>
        <w:t> </w:t>
      </w:r>
      <w:r>
        <w:rPr/>
        <w:t>Kenya,</w:t>
      </w:r>
      <w:r>
        <w:rPr>
          <w:spacing w:val="-11"/>
        </w:rPr>
        <w:t> </w:t>
      </w:r>
      <w:r>
        <w:rPr/>
        <w:t>renowned</w:t>
      </w:r>
      <w:r>
        <w:rPr>
          <w:spacing w:val="-12"/>
        </w:rPr>
        <w:t> </w:t>
      </w:r>
      <w:r>
        <w:rPr/>
        <w:t>for</w:t>
      </w:r>
      <w:r>
        <w:rPr>
          <w:spacing w:val="-4"/>
        </w:rPr>
        <w:t> </w:t>
      </w:r>
      <w:r>
        <w:rPr/>
        <w:t>its</w:t>
      </w:r>
      <w:r>
        <w:rPr>
          <w:spacing w:val="-12"/>
        </w:rPr>
        <w:t> </w:t>
      </w:r>
      <w:r>
        <w:rPr/>
        <w:t>technology-driven</w:t>
      </w:r>
      <w:r>
        <w:rPr>
          <w:spacing w:val="-1"/>
        </w:rPr>
        <w:t> </w:t>
      </w:r>
      <w:r>
        <w:rPr/>
        <w:t>growth,</w:t>
      </w:r>
      <w:r>
        <w:rPr>
          <w:spacing w:val="-1"/>
        </w:rPr>
        <w:t> </w:t>
      </w:r>
      <w:r>
        <w:rPr/>
        <w:t>CAPEX decisions</w:t>
      </w:r>
      <w:r>
        <w:rPr>
          <w:spacing w:val="-3"/>
        </w:rPr>
        <w:t> </w:t>
      </w:r>
      <w:r>
        <w:rPr/>
        <w:t>often intersect with</w:t>
      </w:r>
      <w:r>
        <w:rPr>
          <w:spacing w:val="-1"/>
        </w:rPr>
        <w:t> </w:t>
      </w:r>
      <w:r>
        <w:rPr/>
        <w:t>innovation and fintech investment,</w:t>
      </w:r>
      <w:r>
        <w:rPr>
          <w:spacing w:val="-1"/>
        </w:rPr>
        <w:t> </w:t>
      </w:r>
      <w:r>
        <w:rPr/>
        <w:t>heightening their</w:t>
      </w:r>
      <w:r>
        <w:rPr>
          <w:spacing w:val="-2"/>
        </w:rPr>
        <w:t> </w:t>
      </w:r>
      <w:r>
        <w:rPr/>
        <w:t>valuation</w:t>
      </w:r>
      <w:r>
        <w:rPr>
          <w:spacing w:val="-1"/>
        </w:rPr>
        <w:t> </w:t>
      </w:r>
      <w:r>
        <w:rPr/>
        <w:t>impact. For Tanzania, Uganda, and Côte d’Ivoire, where markets are still maturing, CAPEX ratios may serve as proxies for institutional credibility and growth </w:t>
      </w:r>
      <w:r>
        <w:rPr>
          <w:spacing w:val="-2"/>
        </w:rPr>
        <w:t>potential.</w:t>
      </w:r>
    </w:p>
    <w:p>
      <w:pPr>
        <w:pStyle w:val="BodyText"/>
        <w:spacing w:before="62"/>
        <w:ind w:right="364"/>
      </w:pPr>
      <w:r>
        <w:rPr>
          <w:b/>
        </w:rPr>
        <w:t>H2:</w:t>
      </w:r>
      <w:r>
        <w:rPr>
          <w:b/>
          <w:spacing w:val="-4"/>
        </w:rPr>
        <w:t> </w:t>
      </w:r>
      <w:r>
        <w:rPr/>
        <w:t>Capital</w:t>
      </w:r>
      <w:r>
        <w:rPr>
          <w:spacing w:val="-6"/>
        </w:rPr>
        <w:t> </w:t>
      </w:r>
      <w:r>
        <w:rPr/>
        <w:t>expenditure</w:t>
      </w:r>
      <w:r>
        <w:rPr>
          <w:spacing w:val="-5"/>
        </w:rPr>
        <w:t> </w:t>
      </w:r>
      <w:r>
        <w:rPr/>
        <w:t>to</w:t>
      </w:r>
      <w:r>
        <w:rPr>
          <w:spacing w:val="-6"/>
        </w:rPr>
        <w:t> </w:t>
      </w:r>
      <w:r>
        <w:rPr/>
        <w:t>cash</w:t>
      </w:r>
      <w:r>
        <w:rPr>
          <w:spacing w:val="-4"/>
        </w:rPr>
        <w:t> </w:t>
      </w:r>
      <w:r>
        <w:rPr/>
        <w:t>flow</w:t>
      </w:r>
      <w:r>
        <w:rPr>
          <w:spacing w:val="-5"/>
        </w:rPr>
        <w:t> </w:t>
      </w:r>
      <w:r>
        <w:rPr/>
        <w:t>ratio</w:t>
      </w:r>
      <w:r>
        <w:rPr>
          <w:spacing w:val="-8"/>
        </w:rPr>
        <w:t> </w:t>
      </w:r>
      <w:r>
        <w:rPr/>
        <w:t>has</w:t>
      </w:r>
      <w:r>
        <w:rPr>
          <w:spacing w:val="-5"/>
        </w:rPr>
        <w:t> </w:t>
      </w:r>
      <w:r>
        <w:rPr/>
        <w:t>no</w:t>
      </w:r>
      <w:r>
        <w:rPr>
          <w:spacing w:val="-3"/>
        </w:rPr>
        <w:t> </w:t>
      </w:r>
      <w:r>
        <w:rPr/>
        <w:t>significant</w:t>
      </w:r>
      <w:r>
        <w:rPr>
          <w:spacing w:val="-4"/>
        </w:rPr>
        <w:t> </w:t>
      </w:r>
      <w:r>
        <w:rPr/>
        <w:t>effect</w:t>
      </w:r>
      <w:r>
        <w:rPr>
          <w:spacing w:val="-6"/>
        </w:rPr>
        <w:t> </w:t>
      </w:r>
      <w:r>
        <w:rPr/>
        <w:t>on</w:t>
      </w:r>
      <w:r>
        <w:rPr>
          <w:spacing w:val="-6"/>
        </w:rPr>
        <w:t> </w:t>
      </w:r>
      <w:r>
        <w:rPr/>
        <w:t>the</w:t>
      </w:r>
      <w:r>
        <w:rPr>
          <w:spacing w:val="-7"/>
        </w:rPr>
        <w:t> </w:t>
      </w:r>
      <w:r>
        <w:rPr/>
        <w:t>market</w:t>
      </w:r>
      <w:r>
        <w:rPr>
          <w:spacing w:val="-4"/>
        </w:rPr>
        <w:t> </w:t>
      </w:r>
      <w:r>
        <w:rPr/>
        <w:t>value</w:t>
      </w:r>
      <w:r>
        <w:rPr>
          <w:spacing w:val="-7"/>
        </w:rPr>
        <w:t> </w:t>
      </w:r>
      <w:r>
        <w:rPr/>
        <w:t>of</w:t>
      </w:r>
      <w:r>
        <w:rPr>
          <w:spacing w:val="-4"/>
        </w:rPr>
        <w:t> </w:t>
      </w:r>
      <w:r>
        <w:rPr/>
        <w:t>selected</w:t>
      </w:r>
      <w:r>
        <w:rPr>
          <w:spacing w:val="-4"/>
        </w:rPr>
        <w:t> </w:t>
      </w:r>
      <w:r>
        <w:rPr/>
        <w:t>multinational</w:t>
      </w:r>
      <w:r>
        <w:rPr>
          <w:spacing w:val="-4"/>
        </w:rPr>
        <w:t> </w:t>
      </w:r>
      <w:r>
        <w:rPr/>
        <w:t>companies</w:t>
      </w:r>
      <w:r>
        <w:rPr>
          <w:spacing w:val="-5"/>
        </w:rPr>
        <w:t> </w:t>
      </w:r>
      <w:r>
        <w:rPr/>
        <w:t>in</w:t>
      </w:r>
      <w:r>
        <w:rPr>
          <w:spacing w:val="-5"/>
        </w:rPr>
        <w:t> </w:t>
      </w:r>
      <w:r>
        <w:rPr/>
        <w:t>Nigeria, South Africa, Kenya, Ghana, Tanzania, Uganda, and Côte d’Ivoire.</w:t>
      </w:r>
    </w:p>
    <w:p>
      <w:pPr>
        <w:pStyle w:val="Heading3"/>
        <w:numPr>
          <w:ilvl w:val="1"/>
          <w:numId w:val="2"/>
        </w:numPr>
        <w:tabs>
          <w:tab w:pos="719" w:val="left" w:leader="none"/>
        </w:tabs>
        <w:spacing w:line="240" w:lineRule="auto" w:before="100" w:after="0"/>
        <w:ind w:left="719" w:right="0" w:hanging="350"/>
        <w:jc w:val="both"/>
      </w:pPr>
      <w:r>
        <w:rPr/>
        <w:t>Operating</w:t>
      </w:r>
      <w:r>
        <w:rPr>
          <w:spacing w:val="-6"/>
        </w:rPr>
        <w:t> </w:t>
      </w:r>
      <w:r>
        <w:rPr/>
        <w:t>Cash</w:t>
      </w:r>
      <w:r>
        <w:rPr>
          <w:spacing w:val="-6"/>
        </w:rPr>
        <w:t> </w:t>
      </w:r>
      <w:r>
        <w:rPr/>
        <w:t>Flow</w:t>
      </w:r>
      <w:r>
        <w:rPr>
          <w:spacing w:val="-5"/>
        </w:rPr>
        <w:t> </w:t>
      </w:r>
      <w:r>
        <w:rPr/>
        <w:t>Ratio</w:t>
      </w:r>
      <w:r>
        <w:rPr>
          <w:spacing w:val="-4"/>
        </w:rPr>
        <w:t> </w:t>
      </w:r>
      <w:r>
        <w:rPr/>
        <w:t>and</w:t>
      </w:r>
      <w:r>
        <w:rPr>
          <w:spacing w:val="-6"/>
        </w:rPr>
        <w:t> </w:t>
      </w:r>
      <w:r>
        <w:rPr/>
        <w:t>Market</w:t>
      </w:r>
      <w:r>
        <w:rPr>
          <w:spacing w:val="-4"/>
        </w:rPr>
        <w:t> </w:t>
      </w:r>
      <w:r>
        <w:rPr>
          <w:spacing w:val="-2"/>
        </w:rPr>
        <w:t>Value</w:t>
      </w:r>
    </w:p>
    <w:p>
      <w:pPr>
        <w:pStyle w:val="BodyText"/>
        <w:spacing w:before="60"/>
        <w:ind w:right="361"/>
      </w:pPr>
      <w:r>
        <w:rPr/>
        <w:t>Operating cash flow (OCF) measures the firm’s ability to generate liquidity from its principal operations relative to its size. Higher OCF</w:t>
      </w:r>
      <w:r>
        <w:rPr>
          <w:spacing w:val="-1"/>
        </w:rPr>
        <w:t> </w:t>
      </w:r>
      <w:r>
        <w:rPr/>
        <w:t>generally signals</w:t>
      </w:r>
      <w:r>
        <w:rPr>
          <w:spacing w:val="-2"/>
        </w:rPr>
        <w:t> </w:t>
      </w:r>
      <w:r>
        <w:rPr/>
        <w:t>efficient</w:t>
      </w:r>
      <w:r>
        <w:rPr>
          <w:spacing w:val="-1"/>
        </w:rPr>
        <w:t> </w:t>
      </w:r>
      <w:r>
        <w:rPr/>
        <w:t>management, sustainability,</w:t>
      </w:r>
      <w:r>
        <w:rPr>
          <w:spacing w:val="-1"/>
        </w:rPr>
        <w:t> </w:t>
      </w:r>
      <w:r>
        <w:rPr/>
        <w:t>and reduced reliance</w:t>
      </w:r>
      <w:r>
        <w:rPr>
          <w:spacing w:val="-2"/>
        </w:rPr>
        <w:t> </w:t>
      </w:r>
      <w:r>
        <w:rPr/>
        <w:t>on external</w:t>
      </w:r>
      <w:r>
        <w:rPr>
          <w:spacing w:val="-1"/>
        </w:rPr>
        <w:t> </w:t>
      </w:r>
      <w:r>
        <w:rPr/>
        <w:t>financing.</w:t>
      </w:r>
      <w:r>
        <w:rPr>
          <w:spacing w:val="-1"/>
        </w:rPr>
        <w:t> </w:t>
      </w:r>
      <w:r>
        <w:rPr/>
        <w:t>Studies</w:t>
      </w:r>
      <w:r>
        <w:rPr>
          <w:spacing w:val="-2"/>
        </w:rPr>
        <w:t> </w:t>
      </w:r>
      <w:r>
        <w:rPr/>
        <w:t>such as</w:t>
      </w:r>
      <w:r>
        <w:rPr>
          <w:spacing w:val="-2"/>
        </w:rPr>
        <w:t> </w:t>
      </w:r>
      <w:r>
        <w:rPr/>
        <w:t>Amah et al. (2016) and</w:t>
      </w:r>
      <w:r>
        <w:rPr>
          <w:spacing w:val="-6"/>
        </w:rPr>
        <w:t> </w:t>
      </w:r>
      <w:r>
        <w:rPr/>
        <w:t>Ugwu</w:t>
      </w:r>
      <w:r>
        <w:rPr>
          <w:spacing w:val="-6"/>
        </w:rPr>
        <w:t> </w:t>
      </w:r>
      <w:r>
        <w:rPr/>
        <w:t>et</w:t>
      </w:r>
      <w:r>
        <w:rPr>
          <w:spacing w:val="-9"/>
        </w:rPr>
        <w:t> </w:t>
      </w:r>
      <w:r>
        <w:rPr/>
        <w:t>al.</w:t>
      </w:r>
      <w:r>
        <w:rPr>
          <w:spacing w:val="-8"/>
        </w:rPr>
        <w:t> </w:t>
      </w:r>
      <w:r>
        <w:rPr/>
        <w:t>(2020)</w:t>
      </w:r>
      <w:r>
        <w:rPr>
          <w:spacing w:val="-7"/>
        </w:rPr>
        <w:t> </w:t>
      </w:r>
      <w:r>
        <w:rPr/>
        <w:t>found</w:t>
      </w:r>
      <w:r>
        <w:rPr>
          <w:spacing w:val="-8"/>
        </w:rPr>
        <w:t> </w:t>
      </w:r>
      <w:r>
        <w:rPr/>
        <w:t>positive</w:t>
      </w:r>
      <w:r>
        <w:rPr>
          <w:spacing w:val="-7"/>
        </w:rPr>
        <w:t> </w:t>
      </w:r>
      <w:r>
        <w:rPr/>
        <w:t>correlations</w:t>
      </w:r>
      <w:r>
        <w:rPr>
          <w:spacing w:val="-10"/>
        </w:rPr>
        <w:t> </w:t>
      </w:r>
      <w:r>
        <w:rPr/>
        <w:t>between</w:t>
      </w:r>
      <w:r>
        <w:rPr>
          <w:spacing w:val="-6"/>
        </w:rPr>
        <w:t> </w:t>
      </w:r>
      <w:r>
        <w:rPr/>
        <w:t>OCF</w:t>
      </w:r>
      <w:r>
        <w:rPr>
          <w:spacing w:val="-9"/>
        </w:rPr>
        <w:t> </w:t>
      </w:r>
      <w:r>
        <w:rPr/>
        <w:t>and</w:t>
      </w:r>
      <w:r>
        <w:rPr>
          <w:spacing w:val="-8"/>
        </w:rPr>
        <w:t> </w:t>
      </w:r>
      <w:r>
        <w:rPr/>
        <w:t>valuation</w:t>
      </w:r>
      <w:r>
        <w:rPr>
          <w:spacing w:val="-6"/>
        </w:rPr>
        <w:t> </w:t>
      </w:r>
      <w:r>
        <w:rPr/>
        <w:t>across</w:t>
      </w:r>
      <w:r>
        <w:rPr>
          <w:spacing w:val="-10"/>
        </w:rPr>
        <w:t> </w:t>
      </w:r>
      <w:r>
        <w:rPr/>
        <w:t>multiple</w:t>
      </w:r>
      <w:r>
        <w:rPr>
          <w:spacing w:val="-7"/>
        </w:rPr>
        <w:t> </w:t>
      </w:r>
      <w:r>
        <w:rPr/>
        <w:t>sectors,</w:t>
      </w:r>
      <w:r>
        <w:rPr>
          <w:spacing w:val="-6"/>
        </w:rPr>
        <w:t> </w:t>
      </w:r>
      <w:r>
        <w:rPr/>
        <w:t>while</w:t>
      </w:r>
      <w:r>
        <w:rPr>
          <w:spacing w:val="-10"/>
        </w:rPr>
        <w:t> </w:t>
      </w:r>
      <w:r>
        <w:rPr/>
        <w:t>Yusuf</w:t>
      </w:r>
      <w:r>
        <w:rPr>
          <w:spacing w:val="-9"/>
        </w:rPr>
        <w:t> </w:t>
      </w:r>
      <w:r>
        <w:rPr/>
        <w:t>&amp;</w:t>
      </w:r>
      <w:r>
        <w:rPr>
          <w:spacing w:val="-7"/>
        </w:rPr>
        <w:t> </w:t>
      </w:r>
      <w:r>
        <w:rPr/>
        <w:t>Bello</w:t>
      </w:r>
      <w:r>
        <w:rPr>
          <w:spacing w:val="-8"/>
        </w:rPr>
        <w:t> </w:t>
      </w:r>
      <w:r>
        <w:rPr/>
        <w:t>(2015)</w:t>
      </w:r>
      <w:r>
        <w:rPr>
          <w:spacing w:val="-9"/>
        </w:rPr>
        <w:t> </w:t>
      </w:r>
      <w:r>
        <w:rPr/>
        <w:t>reported similar</w:t>
      </w:r>
      <w:r>
        <w:rPr>
          <w:spacing w:val="-8"/>
        </w:rPr>
        <w:t> </w:t>
      </w:r>
      <w:r>
        <w:rPr/>
        <w:t>findings</w:t>
      </w:r>
      <w:r>
        <w:rPr>
          <w:spacing w:val="-8"/>
        </w:rPr>
        <w:t> </w:t>
      </w:r>
      <w:r>
        <w:rPr/>
        <w:t>in</w:t>
      </w:r>
      <w:r>
        <w:rPr>
          <w:spacing w:val="-7"/>
        </w:rPr>
        <w:t> </w:t>
      </w:r>
      <w:r>
        <w:rPr/>
        <w:t>Sub-Saharan</w:t>
      </w:r>
      <w:r>
        <w:rPr>
          <w:spacing w:val="-7"/>
        </w:rPr>
        <w:t> </w:t>
      </w:r>
      <w:r>
        <w:rPr/>
        <w:t>contexts.</w:t>
      </w:r>
      <w:r>
        <w:rPr>
          <w:spacing w:val="-7"/>
        </w:rPr>
        <w:t> </w:t>
      </w:r>
      <w:r>
        <w:rPr/>
        <w:t>Country-specific</w:t>
      </w:r>
      <w:r>
        <w:rPr>
          <w:spacing w:val="-8"/>
        </w:rPr>
        <w:t> </w:t>
      </w:r>
      <w:r>
        <w:rPr/>
        <w:t>conditions</w:t>
      </w:r>
      <w:r>
        <w:rPr>
          <w:spacing w:val="-8"/>
        </w:rPr>
        <w:t> </w:t>
      </w:r>
      <w:r>
        <w:rPr/>
        <w:t>again</w:t>
      </w:r>
      <w:r>
        <w:rPr>
          <w:spacing w:val="-6"/>
        </w:rPr>
        <w:t> </w:t>
      </w:r>
      <w:r>
        <w:rPr/>
        <w:t>shape</w:t>
      </w:r>
      <w:r>
        <w:rPr>
          <w:spacing w:val="-8"/>
        </w:rPr>
        <w:t> </w:t>
      </w:r>
      <w:r>
        <w:rPr/>
        <w:t>expectations.</w:t>
      </w:r>
      <w:r>
        <w:rPr>
          <w:spacing w:val="-7"/>
        </w:rPr>
        <w:t> </w:t>
      </w:r>
      <w:r>
        <w:rPr/>
        <w:t>In</w:t>
      </w:r>
      <w:r>
        <w:rPr>
          <w:spacing w:val="-7"/>
        </w:rPr>
        <w:t> </w:t>
      </w:r>
      <w:r>
        <w:rPr/>
        <w:t>Nigeria,</w:t>
      </w:r>
      <w:r>
        <w:rPr>
          <w:spacing w:val="-7"/>
        </w:rPr>
        <w:t> </w:t>
      </w:r>
      <w:r>
        <w:rPr/>
        <w:t>frequent</w:t>
      </w:r>
      <w:r>
        <w:rPr>
          <w:spacing w:val="-7"/>
        </w:rPr>
        <w:t> </w:t>
      </w:r>
      <w:r>
        <w:rPr/>
        <w:t>macroeconomic</w:t>
      </w:r>
      <w:r>
        <w:rPr>
          <w:spacing w:val="-8"/>
        </w:rPr>
        <w:t> </w:t>
      </w:r>
      <w:r>
        <w:rPr/>
        <w:t>shocks make strong OCF a crucial indicator of resilience. South Africa’s diversified economy rewards consistent operational performance with valuation premiums. Kenya’s fast-growing consumer and services markets amplify the importance of OCF as a marker of efficiency in scaling</w:t>
      </w:r>
      <w:r>
        <w:rPr>
          <w:spacing w:val="-8"/>
        </w:rPr>
        <w:t> </w:t>
      </w:r>
      <w:r>
        <w:rPr/>
        <w:t>operations.</w:t>
      </w:r>
      <w:r>
        <w:rPr>
          <w:spacing w:val="-11"/>
        </w:rPr>
        <w:t> </w:t>
      </w:r>
      <w:r>
        <w:rPr/>
        <w:t>Ghana,</w:t>
      </w:r>
      <w:r>
        <w:rPr>
          <w:spacing w:val="-9"/>
        </w:rPr>
        <w:t> </w:t>
      </w:r>
      <w:r>
        <w:rPr/>
        <w:t>Tanzania,</w:t>
      </w:r>
      <w:r>
        <w:rPr>
          <w:spacing w:val="-9"/>
        </w:rPr>
        <w:t> </w:t>
      </w:r>
      <w:r>
        <w:rPr/>
        <w:t>and</w:t>
      </w:r>
      <w:r>
        <w:rPr>
          <w:spacing w:val="-10"/>
        </w:rPr>
        <w:t> </w:t>
      </w:r>
      <w:r>
        <w:rPr/>
        <w:t>Uganda,</w:t>
      </w:r>
      <w:r>
        <w:rPr>
          <w:spacing w:val="-9"/>
        </w:rPr>
        <w:t> </w:t>
      </w:r>
      <w:r>
        <w:rPr/>
        <w:t>with</w:t>
      </w:r>
      <w:r>
        <w:rPr>
          <w:spacing w:val="-10"/>
        </w:rPr>
        <w:t> </w:t>
      </w:r>
      <w:r>
        <w:rPr/>
        <w:t>developing</w:t>
      </w:r>
      <w:r>
        <w:rPr>
          <w:spacing w:val="-10"/>
        </w:rPr>
        <w:t> </w:t>
      </w:r>
      <w:r>
        <w:rPr/>
        <w:t>industrial</w:t>
      </w:r>
      <w:r>
        <w:rPr>
          <w:spacing w:val="-9"/>
        </w:rPr>
        <w:t> </w:t>
      </w:r>
      <w:r>
        <w:rPr/>
        <w:t>bases,</w:t>
      </w:r>
      <w:r>
        <w:rPr>
          <w:spacing w:val="-9"/>
        </w:rPr>
        <w:t> </w:t>
      </w:r>
      <w:r>
        <w:rPr/>
        <w:t>may</w:t>
      </w:r>
      <w:r>
        <w:rPr>
          <w:spacing w:val="-8"/>
        </w:rPr>
        <w:t> </w:t>
      </w:r>
      <w:r>
        <w:rPr/>
        <w:t>rely</w:t>
      </w:r>
      <w:r>
        <w:rPr>
          <w:spacing w:val="-10"/>
        </w:rPr>
        <w:t> </w:t>
      </w:r>
      <w:r>
        <w:rPr/>
        <w:t>on</w:t>
      </w:r>
      <w:r>
        <w:rPr>
          <w:spacing w:val="-8"/>
        </w:rPr>
        <w:t> </w:t>
      </w:r>
      <w:r>
        <w:rPr/>
        <w:t>OCF</w:t>
      </w:r>
      <w:r>
        <w:rPr>
          <w:spacing w:val="-11"/>
        </w:rPr>
        <w:t> </w:t>
      </w:r>
      <w:r>
        <w:rPr/>
        <w:t>reporting</w:t>
      </w:r>
      <w:r>
        <w:rPr>
          <w:spacing w:val="-10"/>
        </w:rPr>
        <w:t> </w:t>
      </w:r>
      <w:r>
        <w:rPr/>
        <w:t>to</w:t>
      </w:r>
      <w:r>
        <w:rPr>
          <w:spacing w:val="-10"/>
        </w:rPr>
        <w:t> </w:t>
      </w:r>
      <w:r>
        <w:rPr/>
        <w:t>differentiate</w:t>
      </w:r>
      <w:r>
        <w:rPr>
          <w:spacing w:val="-2"/>
        </w:rPr>
        <w:t> </w:t>
      </w:r>
      <w:r>
        <w:rPr/>
        <w:t>firms</w:t>
      </w:r>
      <w:r>
        <w:rPr>
          <w:spacing w:val="-10"/>
        </w:rPr>
        <w:t> </w:t>
      </w:r>
      <w:r>
        <w:rPr/>
        <w:t>capable of sustaining growth. In Côte d’Ivoire, integration within the OHADA system enhances the comparability of disclosures, rendering OCF ratios particularly useful for regional investors.</w:t>
      </w:r>
    </w:p>
    <w:p>
      <w:pPr>
        <w:pStyle w:val="BodyText"/>
        <w:spacing w:before="60"/>
        <w:ind w:right="373"/>
      </w:pPr>
      <w:r>
        <w:rPr>
          <w:b/>
        </w:rPr>
        <w:t>H3: </w:t>
      </w:r>
      <w:r>
        <w:rPr/>
        <w:t>Operating cash flow ratio has no significant effect on the market value of selected multinational companies in Nigeria, South Africa, Kenya, Ghana, Tanzania, Uganda, and Côte d’Ivoire.</w:t>
      </w:r>
    </w:p>
    <w:p>
      <w:pPr>
        <w:pStyle w:val="Heading3"/>
        <w:numPr>
          <w:ilvl w:val="1"/>
          <w:numId w:val="2"/>
        </w:numPr>
        <w:tabs>
          <w:tab w:pos="719" w:val="left" w:leader="none"/>
        </w:tabs>
        <w:spacing w:line="240" w:lineRule="auto" w:before="100" w:after="0"/>
        <w:ind w:left="719" w:right="0" w:hanging="350"/>
        <w:jc w:val="both"/>
      </w:pPr>
      <w:r>
        <w:rPr/>
        <w:t>Theoretical</w:t>
      </w:r>
      <w:r>
        <w:rPr>
          <w:spacing w:val="-10"/>
        </w:rPr>
        <w:t> </w:t>
      </w:r>
      <w:r>
        <w:rPr>
          <w:spacing w:val="-2"/>
        </w:rPr>
        <w:t>Underpinnings</w:t>
      </w:r>
    </w:p>
    <w:p>
      <w:pPr>
        <w:pStyle w:val="BodyText"/>
        <w:spacing w:before="60"/>
        <w:ind w:right="360"/>
      </w:pPr>
      <w:r>
        <w:rPr/>
        <w:t>The</w:t>
      </w:r>
      <w:r>
        <w:rPr>
          <w:spacing w:val="-7"/>
        </w:rPr>
        <w:t> </w:t>
      </w:r>
      <w:r>
        <w:rPr/>
        <w:t>hypotheses</w:t>
      </w:r>
      <w:r>
        <w:rPr>
          <w:spacing w:val="-7"/>
        </w:rPr>
        <w:t> </w:t>
      </w:r>
      <w:r>
        <w:rPr/>
        <w:t>derive</w:t>
      </w:r>
      <w:r>
        <w:rPr>
          <w:spacing w:val="-7"/>
        </w:rPr>
        <w:t> </w:t>
      </w:r>
      <w:r>
        <w:rPr/>
        <w:t>grounding</w:t>
      </w:r>
      <w:r>
        <w:rPr>
          <w:spacing w:val="-8"/>
        </w:rPr>
        <w:t> </w:t>
      </w:r>
      <w:r>
        <w:rPr/>
        <w:t>from</w:t>
      </w:r>
      <w:r>
        <w:rPr>
          <w:spacing w:val="-7"/>
        </w:rPr>
        <w:t> </w:t>
      </w:r>
      <w:r>
        <w:rPr/>
        <w:t>key</w:t>
      </w:r>
      <w:r>
        <w:rPr>
          <w:spacing w:val="-6"/>
        </w:rPr>
        <w:t> </w:t>
      </w:r>
      <w:r>
        <w:rPr/>
        <w:t>valuation</w:t>
      </w:r>
      <w:r>
        <w:rPr>
          <w:spacing w:val="-8"/>
        </w:rPr>
        <w:t> </w:t>
      </w:r>
      <w:r>
        <w:rPr/>
        <w:t>theories.</w:t>
      </w:r>
      <w:r>
        <w:rPr>
          <w:spacing w:val="-6"/>
        </w:rPr>
        <w:t> </w:t>
      </w:r>
      <w:r>
        <w:rPr/>
        <w:t>The</w:t>
      </w:r>
      <w:r>
        <w:rPr>
          <w:spacing w:val="-7"/>
        </w:rPr>
        <w:t> </w:t>
      </w:r>
      <w:r>
        <w:rPr/>
        <w:t>efficient</w:t>
      </w:r>
      <w:r>
        <w:rPr>
          <w:spacing w:val="-6"/>
        </w:rPr>
        <w:t> </w:t>
      </w:r>
      <w:r>
        <w:rPr/>
        <w:t>market</w:t>
      </w:r>
      <w:r>
        <w:rPr>
          <w:spacing w:val="-6"/>
        </w:rPr>
        <w:t> </w:t>
      </w:r>
      <w:r>
        <w:rPr/>
        <w:t>hypothesis</w:t>
      </w:r>
      <w:r>
        <w:rPr>
          <w:spacing w:val="-7"/>
        </w:rPr>
        <w:t> </w:t>
      </w:r>
      <w:r>
        <w:rPr/>
        <w:t>(Watts</w:t>
      </w:r>
      <w:r>
        <w:rPr>
          <w:spacing w:val="-7"/>
        </w:rPr>
        <w:t> </w:t>
      </w:r>
      <w:r>
        <w:rPr/>
        <w:t>&amp;</w:t>
      </w:r>
      <w:r>
        <w:rPr>
          <w:spacing w:val="-7"/>
        </w:rPr>
        <w:t> </w:t>
      </w:r>
      <w:r>
        <w:rPr/>
        <w:t>Zimmerman,</w:t>
      </w:r>
      <w:r>
        <w:rPr>
          <w:spacing w:val="-6"/>
        </w:rPr>
        <w:t> </w:t>
      </w:r>
      <w:r>
        <w:rPr/>
        <w:t>1986)</w:t>
      </w:r>
      <w:r>
        <w:rPr>
          <w:spacing w:val="-7"/>
        </w:rPr>
        <w:t> </w:t>
      </w:r>
      <w:r>
        <w:rPr/>
        <w:t>posits that share prices incorporate all publicly available information, implying that cash flow measures, if value-relevant, will be reflected in stock prices.</w:t>
      </w:r>
      <w:r>
        <w:rPr>
          <w:spacing w:val="-1"/>
        </w:rPr>
        <w:t> </w:t>
      </w:r>
      <w:r>
        <w:rPr/>
        <w:t>The</w:t>
      </w:r>
      <w:r>
        <w:rPr>
          <w:spacing w:val="-2"/>
        </w:rPr>
        <w:t> </w:t>
      </w:r>
      <w:r>
        <w:rPr/>
        <w:t>clean surplus</w:t>
      </w:r>
      <w:r>
        <w:rPr>
          <w:spacing w:val="-2"/>
        </w:rPr>
        <w:t> </w:t>
      </w:r>
      <w:r>
        <w:rPr/>
        <w:t>theory (Ohlson,</w:t>
      </w:r>
      <w:r>
        <w:rPr>
          <w:spacing w:val="-1"/>
        </w:rPr>
        <w:t> </w:t>
      </w:r>
      <w:r>
        <w:rPr/>
        <w:t>1995)</w:t>
      </w:r>
      <w:r>
        <w:rPr>
          <w:spacing w:val="-1"/>
        </w:rPr>
        <w:t> </w:t>
      </w:r>
      <w:r>
        <w:rPr/>
        <w:t>frames</w:t>
      </w:r>
      <w:r>
        <w:rPr>
          <w:spacing w:val="-2"/>
        </w:rPr>
        <w:t> </w:t>
      </w:r>
      <w:r>
        <w:rPr/>
        <w:t>share</w:t>
      </w:r>
      <w:r>
        <w:rPr>
          <w:spacing w:val="-2"/>
        </w:rPr>
        <w:t> </w:t>
      </w:r>
      <w:r>
        <w:rPr/>
        <w:t>prices</w:t>
      </w:r>
      <w:r>
        <w:rPr>
          <w:spacing w:val="-2"/>
        </w:rPr>
        <w:t> </w:t>
      </w:r>
      <w:r>
        <w:rPr/>
        <w:t>as</w:t>
      </w:r>
      <w:r>
        <w:rPr>
          <w:spacing w:val="-2"/>
        </w:rPr>
        <w:t> </w:t>
      </w:r>
      <w:r>
        <w:rPr/>
        <w:t>a</w:t>
      </w:r>
      <w:r>
        <w:rPr>
          <w:spacing w:val="-2"/>
        </w:rPr>
        <w:t> </w:t>
      </w:r>
      <w:r>
        <w:rPr/>
        <w:t>function</w:t>
      </w:r>
      <w:r>
        <w:rPr>
          <w:spacing w:val="-2"/>
        </w:rPr>
        <w:t> </w:t>
      </w:r>
      <w:r>
        <w:rPr/>
        <w:t>of</w:t>
      </w:r>
      <w:r>
        <w:rPr>
          <w:spacing w:val="-1"/>
        </w:rPr>
        <w:t> </w:t>
      </w:r>
      <w:r>
        <w:rPr/>
        <w:t>book</w:t>
      </w:r>
      <w:r>
        <w:rPr>
          <w:spacing w:val="-2"/>
        </w:rPr>
        <w:t> </w:t>
      </w:r>
      <w:r>
        <w:rPr/>
        <w:t>values</w:t>
      </w:r>
      <w:r>
        <w:rPr>
          <w:spacing w:val="-2"/>
        </w:rPr>
        <w:t> </w:t>
      </w:r>
      <w:r>
        <w:rPr/>
        <w:t>and</w:t>
      </w:r>
      <w:r>
        <w:rPr>
          <w:spacing w:val="-2"/>
        </w:rPr>
        <w:t> </w:t>
      </w:r>
      <w:r>
        <w:rPr/>
        <w:t>earnings,</w:t>
      </w:r>
      <w:r>
        <w:rPr>
          <w:spacing w:val="-3"/>
        </w:rPr>
        <w:t> </w:t>
      </w:r>
      <w:r>
        <w:rPr/>
        <w:t>indirectly</w:t>
      </w:r>
      <w:r>
        <w:rPr>
          <w:spacing w:val="-2"/>
        </w:rPr>
        <w:t> </w:t>
      </w:r>
      <w:r>
        <w:rPr/>
        <w:t>linking cash</w:t>
      </w:r>
      <w:r>
        <w:rPr>
          <w:spacing w:val="-2"/>
        </w:rPr>
        <w:t> </w:t>
      </w:r>
      <w:r>
        <w:rPr/>
        <w:t>flows to valuation outcomes. Valuation theory more broadly (Brown, 1995) explains price formation through direct valuation (DVT) and inputs-</w:t>
      </w:r>
    </w:p>
    <w:p>
      <w:pPr>
        <w:pStyle w:val="BodyText"/>
        <w:spacing w:after="0"/>
        <w:sectPr>
          <w:headerReference w:type="default" r:id="rId11"/>
          <w:footerReference w:type="default" r:id="rId12"/>
          <w:pgSz w:w="11910" w:h="16840"/>
          <w:pgMar w:header="474" w:footer="301" w:top="700" w:bottom="500" w:left="566" w:right="566"/>
          <w:pgNumType w:start="2"/>
        </w:sectPr>
      </w:pPr>
    </w:p>
    <w:p>
      <w:pPr>
        <w:pStyle w:val="BodyText"/>
        <w:spacing w:before="192"/>
        <w:ind w:right="363" w:firstLine="0"/>
      </w:pPr>
      <w:r>
        <w:rPr/>
        <w:t>to-equity</w:t>
      </w:r>
      <w:r>
        <w:rPr>
          <w:spacing w:val="-12"/>
        </w:rPr>
        <w:t> </w:t>
      </w:r>
      <w:r>
        <w:rPr/>
        <w:t>valuation</w:t>
      </w:r>
      <w:r>
        <w:rPr>
          <w:spacing w:val="-9"/>
        </w:rPr>
        <w:t> </w:t>
      </w:r>
      <w:r>
        <w:rPr/>
        <w:t>theory</w:t>
      </w:r>
      <w:r>
        <w:rPr>
          <w:spacing w:val="-11"/>
        </w:rPr>
        <w:t> </w:t>
      </w:r>
      <w:r>
        <w:rPr/>
        <w:t>(ITEVT),</w:t>
      </w:r>
      <w:r>
        <w:rPr>
          <w:spacing w:val="-9"/>
        </w:rPr>
        <w:t> </w:t>
      </w:r>
      <w:r>
        <w:rPr/>
        <w:t>both</w:t>
      </w:r>
      <w:r>
        <w:rPr>
          <w:spacing w:val="-11"/>
        </w:rPr>
        <w:t> </w:t>
      </w:r>
      <w:r>
        <w:rPr/>
        <w:t>of</w:t>
      </w:r>
      <w:r>
        <w:rPr>
          <w:spacing w:val="-10"/>
        </w:rPr>
        <w:t> </w:t>
      </w:r>
      <w:r>
        <w:rPr/>
        <w:t>which</w:t>
      </w:r>
      <w:r>
        <w:rPr>
          <w:spacing w:val="-9"/>
        </w:rPr>
        <w:t> </w:t>
      </w:r>
      <w:r>
        <w:rPr/>
        <w:t>integrate</w:t>
      </w:r>
      <w:r>
        <w:rPr>
          <w:spacing w:val="-10"/>
        </w:rPr>
        <w:t> </w:t>
      </w:r>
      <w:r>
        <w:rPr/>
        <w:t>accounting</w:t>
      </w:r>
      <w:r>
        <w:rPr>
          <w:spacing w:val="-11"/>
        </w:rPr>
        <w:t> </w:t>
      </w:r>
      <w:r>
        <w:rPr/>
        <w:t>data</w:t>
      </w:r>
      <w:r>
        <w:rPr>
          <w:spacing w:val="-12"/>
        </w:rPr>
        <w:t> </w:t>
      </w:r>
      <w:r>
        <w:rPr/>
        <w:t>into</w:t>
      </w:r>
      <w:r>
        <w:rPr>
          <w:spacing w:val="-9"/>
        </w:rPr>
        <w:t> </w:t>
      </w:r>
      <w:r>
        <w:rPr/>
        <w:t>assessments</w:t>
      </w:r>
      <w:r>
        <w:rPr>
          <w:spacing w:val="-10"/>
        </w:rPr>
        <w:t> </w:t>
      </w:r>
      <w:r>
        <w:rPr/>
        <w:t>of</w:t>
      </w:r>
      <w:r>
        <w:rPr>
          <w:spacing w:val="-10"/>
        </w:rPr>
        <w:t> </w:t>
      </w:r>
      <w:r>
        <w:rPr/>
        <w:t>equity</w:t>
      </w:r>
      <w:r>
        <w:rPr>
          <w:spacing w:val="-9"/>
        </w:rPr>
        <w:t> </w:t>
      </w:r>
      <w:r>
        <w:rPr/>
        <w:t>value.</w:t>
      </w:r>
      <w:r>
        <w:rPr>
          <w:spacing w:val="-10"/>
        </w:rPr>
        <w:t> </w:t>
      </w:r>
      <w:r>
        <w:rPr/>
        <w:t>By</w:t>
      </w:r>
      <w:r>
        <w:rPr>
          <w:spacing w:val="-9"/>
        </w:rPr>
        <w:t> </w:t>
      </w:r>
      <w:r>
        <w:rPr/>
        <w:t>situating</w:t>
      </w:r>
      <w:r>
        <w:rPr>
          <w:spacing w:val="-11"/>
        </w:rPr>
        <w:t> </w:t>
      </w:r>
      <w:r>
        <w:rPr/>
        <w:t>these</w:t>
      </w:r>
      <w:r>
        <w:rPr>
          <w:spacing w:val="-5"/>
        </w:rPr>
        <w:t> </w:t>
      </w:r>
      <w:r>
        <w:rPr/>
        <w:t>perspectives within seven Sub-Saharan economies—Nigeria, South Africa, Kenya, Ghana, Tanzania, Uganda, and Côte d’Ivoire—this study not only tests</w:t>
      </w:r>
      <w:r>
        <w:rPr>
          <w:spacing w:val="-12"/>
        </w:rPr>
        <w:t> </w:t>
      </w:r>
      <w:r>
        <w:rPr/>
        <w:t>the</w:t>
      </w:r>
      <w:r>
        <w:rPr>
          <w:spacing w:val="-11"/>
        </w:rPr>
        <w:t> </w:t>
      </w:r>
      <w:r>
        <w:rPr/>
        <w:t>universal</w:t>
      </w:r>
      <w:r>
        <w:rPr>
          <w:spacing w:val="-11"/>
        </w:rPr>
        <w:t> </w:t>
      </w:r>
      <w:r>
        <w:rPr/>
        <w:t>applicability</w:t>
      </w:r>
      <w:r>
        <w:rPr>
          <w:spacing w:val="-10"/>
        </w:rPr>
        <w:t> </w:t>
      </w:r>
      <w:r>
        <w:rPr/>
        <w:t>of</w:t>
      </w:r>
      <w:r>
        <w:rPr>
          <w:spacing w:val="-12"/>
        </w:rPr>
        <w:t> </w:t>
      </w:r>
      <w:r>
        <w:rPr/>
        <w:t>global</w:t>
      </w:r>
      <w:r>
        <w:rPr>
          <w:spacing w:val="-8"/>
        </w:rPr>
        <w:t> </w:t>
      </w:r>
      <w:r>
        <w:rPr/>
        <w:t>theories</w:t>
      </w:r>
      <w:r>
        <w:rPr>
          <w:spacing w:val="-12"/>
        </w:rPr>
        <w:t> </w:t>
      </w:r>
      <w:r>
        <w:rPr/>
        <w:t>but</w:t>
      </w:r>
      <w:r>
        <w:rPr>
          <w:spacing w:val="-8"/>
        </w:rPr>
        <w:t> </w:t>
      </w:r>
      <w:r>
        <w:rPr/>
        <w:t>also</w:t>
      </w:r>
      <w:r>
        <w:rPr>
          <w:spacing w:val="-12"/>
        </w:rPr>
        <w:t> </w:t>
      </w:r>
      <w:r>
        <w:rPr/>
        <w:t>provides</w:t>
      </w:r>
      <w:r>
        <w:rPr>
          <w:spacing w:val="-9"/>
        </w:rPr>
        <w:t> </w:t>
      </w:r>
      <w:r>
        <w:rPr/>
        <w:t>a</w:t>
      </w:r>
      <w:r>
        <w:rPr>
          <w:spacing w:val="-12"/>
        </w:rPr>
        <w:t> </w:t>
      </w:r>
      <w:r>
        <w:rPr/>
        <w:t>regionally</w:t>
      </w:r>
      <w:r>
        <w:rPr>
          <w:spacing w:val="-9"/>
        </w:rPr>
        <w:t> </w:t>
      </w:r>
      <w:r>
        <w:rPr/>
        <w:t>grounded</w:t>
      </w:r>
      <w:r>
        <w:rPr>
          <w:spacing w:val="-10"/>
        </w:rPr>
        <w:t> </w:t>
      </w:r>
      <w:r>
        <w:rPr/>
        <w:t>account</w:t>
      </w:r>
      <w:r>
        <w:rPr>
          <w:spacing w:val="-12"/>
        </w:rPr>
        <w:t> </w:t>
      </w:r>
      <w:r>
        <w:rPr/>
        <w:t>of</w:t>
      </w:r>
      <w:r>
        <w:rPr>
          <w:spacing w:val="-10"/>
        </w:rPr>
        <w:t> </w:t>
      </w:r>
      <w:r>
        <w:rPr/>
        <w:t>how</w:t>
      </w:r>
      <w:r>
        <w:rPr>
          <w:spacing w:val="-10"/>
        </w:rPr>
        <w:t> </w:t>
      </w:r>
      <w:r>
        <w:rPr/>
        <w:t>institutional</w:t>
      </w:r>
      <w:r>
        <w:rPr>
          <w:spacing w:val="-9"/>
        </w:rPr>
        <w:t> </w:t>
      </w:r>
      <w:r>
        <w:rPr/>
        <w:t>and</w:t>
      </w:r>
      <w:r>
        <w:rPr>
          <w:spacing w:val="-3"/>
        </w:rPr>
        <w:t> </w:t>
      </w:r>
      <w:r>
        <w:rPr/>
        <w:t>economic</w:t>
      </w:r>
      <w:r>
        <w:rPr>
          <w:spacing w:val="-9"/>
        </w:rPr>
        <w:t> </w:t>
      </w:r>
      <w:r>
        <w:rPr/>
        <w:t>contexts mediate the value relevance of cash flow reporting.</w:t>
      </w:r>
    </w:p>
    <w:p>
      <w:pPr>
        <w:pStyle w:val="Heading3"/>
        <w:numPr>
          <w:ilvl w:val="1"/>
          <w:numId w:val="2"/>
        </w:numPr>
        <w:tabs>
          <w:tab w:pos="719" w:val="left" w:leader="none"/>
        </w:tabs>
        <w:spacing w:line="240" w:lineRule="auto" w:before="101" w:after="0"/>
        <w:ind w:left="719" w:right="0" w:hanging="350"/>
        <w:jc w:val="both"/>
      </w:pPr>
      <w:r>
        <w:rPr/>
        <w:t>Empirical</w:t>
      </w:r>
      <w:r>
        <w:rPr>
          <w:spacing w:val="-9"/>
        </w:rPr>
        <w:t> </w:t>
      </w:r>
      <w:r>
        <w:rPr>
          <w:spacing w:val="-2"/>
        </w:rPr>
        <w:t>Review</w:t>
      </w:r>
    </w:p>
    <w:p>
      <w:pPr>
        <w:pStyle w:val="BodyText"/>
        <w:spacing w:before="60"/>
        <w:ind w:right="362"/>
      </w:pPr>
      <w:r>
        <w:rPr/>
        <w:t>The discourse on the intricate nexus between financial reporting mechanisms and corporate valuation has gained renewed scholarly attention</w:t>
      </w:r>
      <w:r>
        <w:rPr>
          <w:spacing w:val="-3"/>
        </w:rPr>
        <w:t> </w:t>
      </w:r>
      <w:r>
        <w:rPr/>
        <w:t>in</w:t>
      </w:r>
      <w:r>
        <w:rPr>
          <w:spacing w:val="-3"/>
        </w:rPr>
        <w:t> </w:t>
      </w:r>
      <w:r>
        <w:rPr/>
        <w:t>recent</w:t>
      </w:r>
      <w:r>
        <w:rPr>
          <w:spacing w:val="-6"/>
        </w:rPr>
        <w:t> </w:t>
      </w:r>
      <w:r>
        <w:rPr/>
        <w:t>decades,</w:t>
      </w:r>
      <w:r>
        <w:rPr>
          <w:spacing w:val="-4"/>
        </w:rPr>
        <w:t> </w:t>
      </w:r>
      <w:r>
        <w:rPr/>
        <w:t>particularly</w:t>
      </w:r>
      <w:r>
        <w:rPr>
          <w:spacing w:val="-3"/>
        </w:rPr>
        <w:t> </w:t>
      </w:r>
      <w:r>
        <w:rPr/>
        <w:t>in</w:t>
      </w:r>
      <w:r>
        <w:rPr>
          <w:spacing w:val="-3"/>
        </w:rPr>
        <w:t> </w:t>
      </w:r>
      <w:r>
        <w:rPr/>
        <w:t>emerging</w:t>
      </w:r>
      <w:r>
        <w:rPr>
          <w:spacing w:val="-3"/>
        </w:rPr>
        <w:t> </w:t>
      </w:r>
      <w:r>
        <w:rPr/>
        <w:t>and</w:t>
      </w:r>
      <w:r>
        <w:rPr>
          <w:spacing w:val="-3"/>
        </w:rPr>
        <w:t> </w:t>
      </w:r>
      <w:r>
        <w:rPr/>
        <w:t>frontier</w:t>
      </w:r>
      <w:r>
        <w:rPr>
          <w:spacing w:val="-4"/>
        </w:rPr>
        <w:t> </w:t>
      </w:r>
      <w:r>
        <w:rPr/>
        <w:t>markets.</w:t>
      </w:r>
      <w:r>
        <w:rPr>
          <w:spacing w:val="-4"/>
        </w:rPr>
        <w:t> </w:t>
      </w:r>
      <w:r>
        <w:rPr/>
        <w:t>Within</w:t>
      </w:r>
      <w:r>
        <w:rPr>
          <w:spacing w:val="-3"/>
        </w:rPr>
        <w:t> </w:t>
      </w:r>
      <w:r>
        <w:rPr/>
        <w:t>this</w:t>
      </w:r>
      <w:r>
        <w:rPr>
          <w:spacing w:val="-4"/>
        </w:rPr>
        <w:t> </w:t>
      </w:r>
      <w:r>
        <w:rPr/>
        <w:t>expanding</w:t>
      </w:r>
      <w:r>
        <w:rPr>
          <w:spacing w:val="-3"/>
        </w:rPr>
        <w:t> </w:t>
      </w:r>
      <w:r>
        <w:rPr/>
        <w:t>corpus,</w:t>
      </w:r>
      <w:r>
        <w:rPr>
          <w:spacing w:val="-4"/>
        </w:rPr>
        <w:t> </w:t>
      </w:r>
      <w:r>
        <w:rPr/>
        <w:t>cash</w:t>
      </w:r>
      <w:r>
        <w:rPr>
          <w:spacing w:val="-4"/>
        </w:rPr>
        <w:t> </w:t>
      </w:r>
      <w:r>
        <w:rPr/>
        <w:t>flow</w:t>
      </w:r>
      <w:r>
        <w:rPr>
          <w:spacing w:val="-5"/>
        </w:rPr>
        <w:t> </w:t>
      </w:r>
      <w:r>
        <w:rPr/>
        <w:t>accounting</w:t>
      </w:r>
      <w:r>
        <w:rPr>
          <w:spacing w:val="-3"/>
        </w:rPr>
        <w:t> </w:t>
      </w:r>
      <w:r>
        <w:rPr/>
        <w:t>reporting</w:t>
      </w:r>
      <w:r>
        <w:rPr>
          <w:spacing w:val="-6"/>
        </w:rPr>
        <w:t> </w:t>
      </w:r>
      <w:r>
        <w:rPr/>
        <w:t>has emerged</w:t>
      </w:r>
      <w:r>
        <w:rPr>
          <w:spacing w:val="-12"/>
        </w:rPr>
        <w:t> </w:t>
      </w:r>
      <w:r>
        <w:rPr/>
        <w:t>as</w:t>
      </w:r>
      <w:r>
        <w:rPr>
          <w:spacing w:val="-11"/>
        </w:rPr>
        <w:t> </w:t>
      </w:r>
      <w:r>
        <w:rPr/>
        <w:t>a</w:t>
      </w:r>
      <w:r>
        <w:rPr>
          <w:spacing w:val="-11"/>
        </w:rPr>
        <w:t> </w:t>
      </w:r>
      <w:r>
        <w:rPr/>
        <w:t>critical</w:t>
      </w:r>
      <w:r>
        <w:rPr>
          <w:spacing w:val="-11"/>
        </w:rPr>
        <w:t> </w:t>
      </w:r>
      <w:r>
        <w:rPr/>
        <w:t>strand</w:t>
      </w:r>
      <w:r>
        <w:rPr>
          <w:spacing w:val="-12"/>
        </w:rPr>
        <w:t> </w:t>
      </w:r>
      <w:r>
        <w:rPr/>
        <w:t>of</w:t>
      </w:r>
      <w:r>
        <w:rPr>
          <w:spacing w:val="-11"/>
        </w:rPr>
        <w:t> </w:t>
      </w:r>
      <w:r>
        <w:rPr/>
        <w:t>inquiry,</w:t>
      </w:r>
      <w:r>
        <w:rPr>
          <w:spacing w:val="-11"/>
        </w:rPr>
        <w:t> </w:t>
      </w:r>
      <w:r>
        <w:rPr/>
        <w:t>largely</w:t>
      </w:r>
      <w:r>
        <w:rPr>
          <w:spacing w:val="-11"/>
        </w:rPr>
        <w:t> </w:t>
      </w:r>
      <w:r>
        <w:rPr/>
        <w:t>due</w:t>
      </w:r>
      <w:r>
        <w:rPr>
          <w:spacing w:val="-12"/>
        </w:rPr>
        <w:t> </w:t>
      </w:r>
      <w:r>
        <w:rPr/>
        <w:t>to</w:t>
      </w:r>
      <w:r>
        <w:rPr>
          <w:spacing w:val="-11"/>
        </w:rPr>
        <w:t> </w:t>
      </w:r>
      <w:r>
        <w:rPr/>
        <w:t>its</w:t>
      </w:r>
      <w:r>
        <w:rPr>
          <w:spacing w:val="-11"/>
        </w:rPr>
        <w:t> </w:t>
      </w:r>
      <w:r>
        <w:rPr/>
        <w:t>perceived</w:t>
      </w:r>
      <w:r>
        <w:rPr>
          <w:spacing w:val="-11"/>
        </w:rPr>
        <w:t> </w:t>
      </w:r>
      <w:r>
        <w:rPr/>
        <w:t>superiority</w:t>
      </w:r>
      <w:r>
        <w:rPr>
          <w:spacing w:val="-12"/>
        </w:rPr>
        <w:t> </w:t>
      </w:r>
      <w:r>
        <w:rPr/>
        <w:t>in</w:t>
      </w:r>
      <w:r>
        <w:rPr>
          <w:spacing w:val="-11"/>
        </w:rPr>
        <w:t> </w:t>
      </w:r>
      <w:r>
        <w:rPr/>
        <w:t>capturing</w:t>
      </w:r>
      <w:r>
        <w:rPr>
          <w:spacing w:val="-11"/>
        </w:rPr>
        <w:t> </w:t>
      </w:r>
      <w:r>
        <w:rPr/>
        <w:t>the</w:t>
      </w:r>
      <w:r>
        <w:rPr>
          <w:spacing w:val="-11"/>
        </w:rPr>
        <w:t> </w:t>
      </w:r>
      <w:r>
        <w:rPr/>
        <w:t>liquidity,</w:t>
      </w:r>
      <w:r>
        <w:rPr>
          <w:spacing w:val="-12"/>
        </w:rPr>
        <w:t> </w:t>
      </w:r>
      <w:r>
        <w:rPr/>
        <w:t>operational</w:t>
      </w:r>
      <w:r>
        <w:rPr>
          <w:spacing w:val="-11"/>
        </w:rPr>
        <w:t> </w:t>
      </w:r>
      <w:r>
        <w:rPr/>
        <w:t>resilience,</w:t>
      </w:r>
      <w:r>
        <w:rPr>
          <w:spacing w:val="-11"/>
        </w:rPr>
        <w:t> </w:t>
      </w:r>
      <w:r>
        <w:rPr/>
        <w:t>and</w:t>
      </w:r>
      <w:r>
        <w:rPr>
          <w:spacing w:val="-11"/>
        </w:rPr>
        <w:t> </w:t>
      </w:r>
      <w:r>
        <w:rPr/>
        <w:t>investment capacity of firms beyond the static confines of accrual-based earnings. While traditional financial statements, anchored on profit and loss, have historically dominated valuation models, the global investment community has increasingly acknowledged that robust cash flow disclosures provide deeper insights into a company’s ability to generate sustainable returns, service obligations, and withstand exogenous shocks. In the context of Sub-Saharan Africa—a region characterized by fluctuating commodity cycles, fragile regulatory institutions, and dynamic market reforms—the study of cash flow reporting and its linkages to market valuation of multinational corporations acquires not only</w:t>
      </w:r>
      <w:r>
        <w:rPr>
          <w:spacing w:val="-3"/>
        </w:rPr>
        <w:t> </w:t>
      </w:r>
      <w:r>
        <w:rPr/>
        <w:t>empirical</w:t>
      </w:r>
      <w:r>
        <w:rPr>
          <w:spacing w:val="-4"/>
        </w:rPr>
        <w:t> </w:t>
      </w:r>
      <w:r>
        <w:rPr/>
        <w:t>salience</w:t>
      </w:r>
      <w:r>
        <w:rPr>
          <w:spacing w:val="-5"/>
        </w:rPr>
        <w:t> </w:t>
      </w:r>
      <w:r>
        <w:rPr/>
        <w:t>but</w:t>
      </w:r>
      <w:r>
        <w:rPr>
          <w:spacing w:val="-4"/>
        </w:rPr>
        <w:t> </w:t>
      </w:r>
      <w:r>
        <w:rPr/>
        <w:t>also</w:t>
      </w:r>
      <w:r>
        <w:rPr>
          <w:spacing w:val="-6"/>
        </w:rPr>
        <w:t> </w:t>
      </w:r>
      <w:r>
        <w:rPr/>
        <w:t>developmental</w:t>
      </w:r>
      <w:r>
        <w:rPr>
          <w:spacing w:val="-4"/>
        </w:rPr>
        <w:t> </w:t>
      </w:r>
      <w:r>
        <w:rPr/>
        <w:t>urgency.</w:t>
      </w:r>
      <w:r>
        <w:rPr>
          <w:spacing w:val="-4"/>
        </w:rPr>
        <w:t> </w:t>
      </w:r>
      <w:r>
        <w:rPr/>
        <w:t>Empirical</w:t>
      </w:r>
      <w:r>
        <w:rPr>
          <w:spacing w:val="-6"/>
        </w:rPr>
        <w:t> </w:t>
      </w:r>
      <w:r>
        <w:rPr/>
        <w:t>investigations</w:t>
      </w:r>
      <w:r>
        <w:rPr>
          <w:spacing w:val="-5"/>
        </w:rPr>
        <w:t> </w:t>
      </w:r>
      <w:r>
        <w:rPr/>
        <w:t>across</w:t>
      </w:r>
      <w:r>
        <w:rPr>
          <w:spacing w:val="-5"/>
        </w:rPr>
        <w:t> </w:t>
      </w:r>
      <w:r>
        <w:rPr/>
        <w:t>diverse</w:t>
      </w:r>
      <w:r>
        <w:rPr>
          <w:spacing w:val="-5"/>
        </w:rPr>
        <w:t> </w:t>
      </w:r>
      <w:r>
        <w:rPr/>
        <w:t>jurisdictions</w:t>
      </w:r>
      <w:r>
        <w:rPr>
          <w:spacing w:val="-5"/>
        </w:rPr>
        <w:t> </w:t>
      </w:r>
      <w:r>
        <w:rPr/>
        <w:t>have</w:t>
      </w:r>
      <w:r>
        <w:rPr>
          <w:spacing w:val="-5"/>
        </w:rPr>
        <w:t> </w:t>
      </w:r>
      <w:r>
        <w:rPr/>
        <w:t>consistently</w:t>
      </w:r>
      <w:r>
        <w:rPr>
          <w:spacing w:val="-3"/>
        </w:rPr>
        <w:t> </w:t>
      </w:r>
      <w:r>
        <w:rPr/>
        <w:t>underscored the value-relevance of cash flow accounting. For instance, Ohlson’s (1995) valuation framework, though universal in design, provided impetus for subsequent regional studies that examined how cash flow information augments equity pricing models. In a Nigerian setting, Okafor et al. (2024) demonstrated that operating cash flows exhibit stronger explanatory power over share prices than reported earnings, particularly under volatile macroeconomic conditions. Similar evidence was adduced by Njore et al. (2024) &amp; Tutu in Kenya, where cash flow reporting significantly improved the predictive capacity of valuation models in firms listed on the Kenya Stock Exchange. These findings</w:t>
      </w:r>
      <w:r>
        <w:rPr>
          <w:spacing w:val="-2"/>
        </w:rPr>
        <w:t> </w:t>
      </w:r>
      <w:r>
        <w:rPr/>
        <w:t>resonate with the work of Ncube &amp;</w:t>
      </w:r>
      <w:r>
        <w:rPr>
          <w:spacing w:val="-2"/>
        </w:rPr>
        <w:t> </w:t>
      </w:r>
      <w:r>
        <w:rPr/>
        <w:t>Molefe (2021)</w:t>
      </w:r>
      <w:r>
        <w:rPr>
          <w:spacing w:val="-1"/>
        </w:rPr>
        <w:t> </w:t>
      </w:r>
      <w:r>
        <w:rPr/>
        <w:t>in South Africa, where cash flow</w:t>
      </w:r>
      <w:r>
        <w:rPr>
          <w:spacing w:val="-1"/>
        </w:rPr>
        <w:t> </w:t>
      </w:r>
      <w:r>
        <w:rPr/>
        <w:t>disclosures were found to reduce information asymmetry and enhance investor confidence, particularly among foreign institutional investors. Beyond national borders, comparative studies have</w:t>
      </w:r>
      <w:r>
        <w:rPr>
          <w:spacing w:val="-2"/>
        </w:rPr>
        <w:t> </w:t>
      </w:r>
      <w:r>
        <w:rPr/>
        <w:t>illuminated regional</w:t>
      </w:r>
      <w:r>
        <w:rPr>
          <w:spacing w:val="-1"/>
        </w:rPr>
        <w:t> </w:t>
      </w:r>
      <w:r>
        <w:rPr/>
        <w:t>patterns. For example, Kamau &amp;</w:t>
      </w:r>
      <w:r>
        <w:rPr>
          <w:spacing w:val="-2"/>
        </w:rPr>
        <w:t> </w:t>
      </w:r>
      <w:r>
        <w:rPr/>
        <w:t>Wanjiru (2020)</w:t>
      </w:r>
      <w:r>
        <w:rPr>
          <w:spacing w:val="-1"/>
        </w:rPr>
        <w:t> </w:t>
      </w:r>
      <w:r>
        <w:rPr/>
        <w:t>analyzed Kenyan multinationals and observed that</w:t>
      </w:r>
      <w:r>
        <w:rPr>
          <w:spacing w:val="-1"/>
        </w:rPr>
        <w:t> </w:t>
      </w:r>
      <w:r>
        <w:rPr/>
        <w:t>cash flow statements were more reliable predictors of dividend sustainability than accrual-based profits. In Tanzania, Mussa &amp; Ally (2018) revealed that while net income figures often suffered distortions from accounting discretion, cash flow disclosures maintained a stronger alignment with intrinsic firm value. Extending this perspective, Dlamini (2021) in Eswatini observed that cash flow data significantly influenced</w:t>
      </w:r>
      <w:r>
        <w:rPr>
          <w:spacing w:val="-3"/>
        </w:rPr>
        <w:t> </w:t>
      </w:r>
      <w:r>
        <w:rPr/>
        <w:t>market</w:t>
      </w:r>
      <w:r>
        <w:rPr>
          <w:spacing w:val="-4"/>
        </w:rPr>
        <w:t> </w:t>
      </w:r>
      <w:r>
        <w:rPr/>
        <w:t>capitalization</w:t>
      </w:r>
      <w:r>
        <w:rPr>
          <w:spacing w:val="-3"/>
        </w:rPr>
        <w:t> </w:t>
      </w:r>
      <w:r>
        <w:rPr/>
        <w:t>of</w:t>
      </w:r>
      <w:r>
        <w:rPr>
          <w:spacing w:val="-4"/>
        </w:rPr>
        <w:t> </w:t>
      </w:r>
      <w:r>
        <w:rPr/>
        <w:t>cross-listed</w:t>
      </w:r>
      <w:r>
        <w:rPr>
          <w:spacing w:val="-3"/>
        </w:rPr>
        <w:t> </w:t>
      </w:r>
      <w:r>
        <w:rPr/>
        <w:t>firms,</w:t>
      </w:r>
      <w:r>
        <w:rPr>
          <w:spacing w:val="-4"/>
        </w:rPr>
        <w:t> </w:t>
      </w:r>
      <w:r>
        <w:rPr/>
        <w:t>reinforcing</w:t>
      </w:r>
      <w:r>
        <w:rPr>
          <w:spacing w:val="-3"/>
        </w:rPr>
        <w:t> </w:t>
      </w:r>
      <w:r>
        <w:rPr/>
        <w:t>its</w:t>
      </w:r>
      <w:r>
        <w:rPr>
          <w:spacing w:val="-7"/>
        </w:rPr>
        <w:t> </w:t>
      </w:r>
      <w:r>
        <w:rPr/>
        <w:t>role</w:t>
      </w:r>
      <w:r>
        <w:rPr>
          <w:spacing w:val="-5"/>
        </w:rPr>
        <w:t> </w:t>
      </w:r>
      <w:r>
        <w:rPr/>
        <w:t>as</w:t>
      </w:r>
      <w:r>
        <w:rPr>
          <w:spacing w:val="-5"/>
        </w:rPr>
        <w:t> </w:t>
      </w:r>
      <w:r>
        <w:rPr/>
        <w:t>a</w:t>
      </w:r>
      <w:r>
        <w:rPr>
          <w:spacing w:val="-5"/>
        </w:rPr>
        <w:t> </w:t>
      </w:r>
      <w:r>
        <w:rPr/>
        <w:t>valuation</w:t>
      </w:r>
      <w:r>
        <w:rPr>
          <w:spacing w:val="-6"/>
        </w:rPr>
        <w:t> </w:t>
      </w:r>
      <w:r>
        <w:rPr/>
        <w:t>anchor</w:t>
      </w:r>
      <w:r>
        <w:rPr>
          <w:spacing w:val="-4"/>
        </w:rPr>
        <w:t> </w:t>
      </w:r>
      <w:r>
        <w:rPr/>
        <w:t>in</w:t>
      </w:r>
      <w:r>
        <w:rPr>
          <w:spacing w:val="-5"/>
        </w:rPr>
        <w:t> </w:t>
      </w:r>
      <w:r>
        <w:rPr/>
        <w:t>less</w:t>
      </w:r>
      <w:r>
        <w:rPr>
          <w:spacing w:val="-5"/>
        </w:rPr>
        <w:t> </w:t>
      </w:r>
      <w:r>
        <w:rPr/>
        <w:t>mature</w:t>
      </w:r>
      <w:r>
        <w:rPr>
          <w:spacing w:val="-5"/>
        </w:rPr>
        <w:t> </w:t>
      </w:r>
      <w:r>
        <w:rPr/>
        <w:t>capital</w:t>
      </w:r>
      <w:r>
        <w:rPr>
          <w:spacing w:val="-4"/>
        </w:rPr>
        <w:t> </w:t>
      </w:r>
      <w:r>
        <w:rPr/>
        <w:t>markets.</w:t>
      </w:r>
      <w:r>
        <w:rPr>
          <w:spacing w:val="-4"/>
        </w:rPr>
        <w:t> </w:t>
      </w:r>
      <w:r>
        <w:rPr/>
        <w:t>The</w:t>
      </w:r>
      <w:r>
        <w:rPr>
          <w:spacing w:val="-5"/>
        </w:rPr>
        <w:t> </w:t>
      </w:r>
      <w:r>
        <w:rPr/>
        <w:t>centrality of cash flows in corporate valuation is also corroborated in francophone Sub-Saharan Africa. Kouadio &amp; Yao (2020), in their examination of Ivorian firms, reported that cash flow reporting enhanced market efficiency by narrowing bid–ask spreads, thus lowering the cost of capital.</w:t>
      </w:r>
      <w:r>
        <w:rPr>
          <w:spacing w:val="-12"/>
        </w:rPr>
        <w:t> </w:t>
      </w:r>
      <w:r>
        <w:rPr/>
        <w:t>Similar</w:t>
      </w:r>
      <w:r>
        <w:rPr>
          <w:spacing w:val="-11"/>
        </w:rPr>
        <w:t> </w:t>
      </w:r>
      <w:r>
        <w:rPr/>
        <w:t>evidence</w:t>
      </w:r>
      <w:r>
        <w:rPr>
          <w:spacing w:val="-11"/>
        </w:rPr>
        <w:t> </w:t>
      </w:r>
      <w:r>
        <w:rPr/>
        <w:t>was</w:t>
      </w:r>
      <w:r>
        <w:rPr>
          <w:spacing w:val="-11"/>
        </w:rPr>
        <w:t> </w:t>
      </w:r>
      <w:r>
        <w:rPr/>
        <w:t>offered</w:t>
      </w:r>
      <w:r>
        <w:rPr>
          <w:spacing w:val="-11"/>
        </w:rPr>
        <w:t> </w:t>
      </w:r>
      <w:r>
        <w:rPr/>
        <w:t>by</w:t>
      </w:r>
      <w:r>
        <w:rPr>
          <w:spacing w:val="-10"/>
        </w:rPr>
        <w:t> </w:t>
      </w:r>
      <w:r>
        <w:rPr/>
        <w:t>Diallo</w:t>
      </w:r>
      <w:r>
        <w:rPr>
          <w:spacing w:val="-10"/>
        </w:rPr>
        <w:t> </w:t>
      </w:r>
      <w:r>
        <w:rPr/>
        <w:t>(2019)</w:t>
      </w:r>
      <w:r>
        <w:rPr>
          <w:spacing w:val="-11"/>
        </w:rPr>
        <w:t> </w:t>
      </w:r>
      <w:r>
        <w:rPr/>
        <w:t>in</w:t>
      </w:r>
      <w:r>
        <w:rPr>
          <w:spacing w:val="-10"/>
        </w:rPr>
        <w:t> </w:t>
      </w:r>
      <w:r>
        <w:rPr/>
        <w:t>Senegal,</w:t>
      </w:r>
      <w:r>
        <w:rPr>
          <w:spacing w:val="-11"/>
        </w:rPr>
        <w:t> </w:t>
      </w:r>
      <w:r>
        <w:rPr/>
        <w:t>where</w:t>
      </w:r>
      <w:r>
        <w:rPr>
          <w:spacing w:val="-12"/>
        </w:rPr>
        <w:t> </w:t>
      </w:r>
      <w:r>
        <w:rPr/>
        <w:t>cash</w:t>
      </w:r>
      <w:r>
        <w:rPr>
          <w:spacing w:val="-10"/>
        </w:rPr>
        <w:t> </w:t>
      </w:r>
      <w:r>
        <w:rPr/>
        <w:t>flows—particularly</w:t>
      </w:r>
      <w:r>
        <w:rPr>
          <w:spacing w:val="-10"/>
        </w:rPr>
        <w:t> </w:t>
      </w:r>
      <w:r>
        <w:rPr/>
        <w:t>from</w:t>
      </w:r>
      <w:r>
        <w:rPr>
          <w:spacing w:val="-12"/>
        </w:rPr>
        <w:t> </w:t>
      </w:r>
      <w:r>
        <w:rPr/>
        <w:t>investing</w:t>
      </w:r>
      <w:r>
        <w:rPr>
          <w:spacing w:val="-9"/>
        </w:rPr>
        <w:t> </w:t>
      </w:r>
      <w:r>
        <w:rPr/>
        <w:t>activities—were</w:t>
      </w:r>
      <w:r>
        <w:rPr>
          <w:spacing w:val="-12"/>
        </w:rPr>
        <w:t> </w:t>
      </w:r>
      <w:r>
        <w:rPr/>
        <w:t>associated with long-term valuation premiums in listed multinational companies. Moreover, comparative pan-African studies, such as Olorunfemi et al. (2020), demonstrated that across Nigeria, Kenya, and South Africa, the explanatory power of cash flows on firm value consistently outperformed</w:t>
      </w:r>
      <w:r>
        <w:rPr>
          <w:spacing w:val="-3"/>
        </w:rPr>
        <w:t> </w:t>
      </w:r>
      <w:r>
        <w:rPr/>
        <w:t>earnings,</w:t>
      </w:r>
      <w:r>
        <w:rPr>
          <w:spacing w:val="-4"/>
        </w:rPr>
        <w:t> </w:t>
      </w:r>
      <w:r>
        <w:rPr/>
        <w:t>highlighting</w:t>
      </w:r>
      <w:r>
        <w:rPr>
          <w:spacing w:val="-3"/>
        </w:rPr>
        <w:t> </w:t>
      </w:r>
      <w:r>
        <w:rPr/>
        <w:t>the</w:t>
      </w:r>
      <w:r>
        <w:rPr>
          <w:spacing w:val="-7"/>
        </w:rPr>
        <w:t> </w:t>
      </w:r>
      <w:r>
        <w:rPr/>
        <w:t>universal</w:t>
      </w:r>
      <w:r>
        <w:rPr>
          <w:spacing w:val="-4"/>
        </w:rPr>
        <w:t> </w:t>
      </w:r>
      <w:r>
        <w:rPr/>
        <w:t>relevance</w:t>
      </w:r>
      <w:r>
        <w:rPr>
          <w:spacing w:val="-5"/>
        </w:rPr>
        <w:t> </w:t>
      </w:r>
      <w:r>
        <w:rPr/>
        <w:t>of</w:t>
      </w:r>
      <w:r>
        <w:rPr>
          <w:spacing w:val="-4"/>
        </w:rPr>
        <w:t> </w:t>
      </w:r>
      <w:r>
        <w:rPr/>
        <w:t>liquidity-based</w:t>
      </w:r>
      <w:r>
        <w:rPr>
          <w:spacing w:val="-3"/>
        </w:rPr>
        <w:t> </w:t>
      </w:r>
      <w:r>
        <w:rPr/>
        <w:t>metrics</w:t>
      </w:r>
      <w:r>
        <w:rPr>
          <w:spacing w:val="-5"/>
        </w:rPr>
        <w:t> </w:t>
      </w:r>
      <w:r>
        <w:rPr/>
        <w:t>in</w:t>
      </w:r>
      <w:r>
        <w:rPr>
          <w:spacing w:val="-3"/>
        </w:rPr>
        <w:t> </w:t>
      </w:r>
      <w:r>
        <w:rPr/>
        <w:t>Sub-Saharan</w:t>
      </w:r>
      <w:r>
        <w:rPr>
          <w:spacing w:val="-3"/>
        </w:rPr>
        <w:t> </w:t>
      </w:r>
      <w:r>
        <w:rPr/>
        <w:t>markets.</w:t>
      </w:r>
      <w:r>
        <w:rPr>
          <w:spacing w:val="-4"/>
        </w:rPr>
        <w:t> </w:t>
      </w:r>
      <w:r>
        <w:rPr/>
        <w:t>International</w:t>
      </w:r>
      <w:r>
        <w:rPr>
          <w:spacing w:val="-4"/>
        </w:rPr>
        <w:t> </w:t>
      </w:r>
      <w:r>
        <w:rPr/>
        <w:t>investors</w:t>
      </w:r>
      <w:r>
        <w:rPr>
          <w:spacing w:val="-7"/>
        </w:rPr>
        <w:t> </w:t>
      </w:r>
      <w:r>
        <w:rPr/>
        <w:t>have also</w:t>
      </w:r>
      <w:r>
        <w:rPr>
          <w:spacing w:val="-12"/>
        </w:rPr>
        <w:t> </w:t>
      </w:r>
      <w:r>
        <w:rPr/>
        <w:t>signaled</w:t>
      </w:r>
      <w:r>
        <w:rPr>
          <w:spacing w:val="-11"/>
        </w:rPr>
        <w:t> </w:t>
      </w:r>
      <w:r>
        <w:rPr/>
        <w:t>their</w:t>
      </w:r>
      <w:r>
        <w:rPr>
          <w:spacing w:val="-11"/>
        </w:rPr>
        <w:t> </w:t>
      </w:r>
      <w:r>
        <w:rPr/>
        <w:t>preference</w:t>
      </w:r>
      <w:r>
        <w:rPr>
          <w:spacing w:val="-11"/>
        </w:rPr>
        <w:t> </w:t>
      </w:r>
      <w:r>
        <w:rPr/>
        <w:t>for</w:t>
      </w:r>
      <w:r>
        <w:rPr>
          <w:spacing w:val="-12"/>
        </w:rPr>
        <w:t> </w:t>
      </w:r>
      <w:r>
        <w:rPr/>
        <w:t>transparent</w:t>
      </w:r>
      <w:r>
        <w:rPr>
          <w:spacing w:val="-11"/>
        </w:rPr>
        <w:t> </w:t>
      </w:r>
      <w:r>
        <w:rPr/>
        <w:t>cash</w:t>
      </w:r>
      <w:r>
        <w:rPr>
          <w:spacing w:val="-11"/>
        </w:rPr>
        <w:t> </w:t>
      </w:r>
      <w:r>
        <w:rPr/>
        <w:t>flow</w:t>
      </w:r>
      <w:r>
        <w:rPr>
          <w:spacing w:val="-11"/>
        </w:rPr>
        <w:t> </w:t>
      </w:r>
      <w:r>
        <w:rPr/>
        <w:t>reporting</w:t>
      </w:r>
      <w:r>
        <w:rPr>
          <w:spacing w:val="-12"/>
        </w:rPr>
        <w:t> </w:t>
      </w:r>
      <w:r>
        <w:rPr/>
        <w:t>in</w:t>
      </w:r>
      <w:r>
        <w:rPr>
          <w:spacing w:val="-11"/>
        </w:rPr>
        <w:t> </w:t>
      </w:r>
      <w:r>
        <w:rPr/>
        <w:t>frontier</w:t>
      </w:r>
      <w:r>
        <w:rPr>
          <w:spacing w:val="-11"/>
        </w:rPr>
        <w:t> </w:t>
      </w:r>
      <w:r>
        <w:rPr/>
        <w:t>economies.</w:t>
      </w:r>
      <w:r>
        <w:rPr>
          <w:spacing w:val="-11"/>
        </w:rPr>
        <w:t> </w:t>
      </w:r>
      <w:r>
        <w:rPr/>
        <w:t>Emeni</w:t>
      </w:r>
      <w:r>
        <w:rPr>
          <w:spacing w:val="-12"/>
        </w:rPr>
        <w:t> </w:t>
      </w:r>
      <w:r>
        <w:rPr/>
        <w:t>(2021),</w:t>
      </w:r>
      <w:r>
        <w:rPr>
          <w:spacing w:val="-11"/>
        </w:rPr>
        <w:t> </w:t>
      </w:r>
      <w:r>
        <w:rPr/>
        <w:t>focusing</w:t>
      </w:r>
      <w:r>
        <w:rPr>
          <w:spacing w:val="-11"/>
        </w:rPr>
        <w:t> </w:t>
      </w:r>
      <w:r>
        <w:rPr/>
        <w:t>on</w:t>
      </w:r>
      <w:r>
        <w:rPr>
          <w:spacing w:val="-11"/>
        </w:rPr>
        <w:t> </w:t>
      </w:r>
      <w:r>
        <w:rPr/>
        <w:t>multinational</w:t>
      </w:r>
      <w:r>
        <w:rPr>
          <w:spacing w:val="-12"/>
        </w:rPr>
        <w:t> </w:t>
      </w:r>
      <w:r>
        <w:rPr/>
        <w:t>corporations operating</w:t>
      </w:r>
      <w:r>
        <w:rPr>
          <w:spacing w:val="-4"/>
        </w:rPr>
        <w:t> </w:t>
      </w:r>
      <w:r>
        <w:rPr/>
        <w:t>in</w:t>
      </w:r>
      <w:r>
        <w:rPr>
          <w:spacing w:val="-6"/>
        </w:rPr>
        <w:t> </w:t>
      </w:r>
      <w:r>
        <w:rPr/>
        <w:t>oil</w:t>
      </w:r>
      <w:r>
        <w:rPr>
          <w:spacing w:val="-6"/>
        </w:rPr>
        <w:t> </w:t>
      </w:r>
      <w:r>
        <w:rPr/>
        <w:t>and</w:t>
      </w:r>
      <w:r>
        <w:rPr>
          <w:spacing w:val="-6"/>
        </w:rPr>
        <w:t> </w:t>
      </w:r>
      <w:r>
        <w:rPr/>
        <w:t>gas,</w:t>
      </w:r>
      <w:r>
        <w:rPr>
          <w:spacing w:val="-6"/>
        </w:rPr>
        <w:t> </w:t>
      </w:r>
      <w:r>
        <w:rPr/>
        <w:t>revealed</w:t>
      </w:r>
      <w:r>
        <w:rPr>
          <w:spacing w:val="-6"/>
        </w:rPr>
        <w:t> </w:t>
      </w:r>
      <w:r>
        <w:rPr/>
        <w:t>that</w:t>
      </w:r>
      <w:r>
        <w:rPr>
          <w:spacing w:val="-6"/>
        </w:rPr>
        <w:t> </w:t>
      </w:r>
      <w:r>
        <w:rPr/>
        <w:t>firms</w:t>
      </w:r>
      <w:r>
        <w:rPr>
          <w:spacing w:val="-7"/>
        </w:rPr>
        <w:t> </w:t>
      </w:r>
      <w:r>
        <w:rPr/>
        <w:t>with</w:t>
      </w:r>
      <w:r>
        <w:rPr>
          <w:spacing w:val="-5"/>
        </w:rPr>
        <w:t> </w:t>
      </w:r>
      <w:r>
        <w:rPr/>
        <w:t>more</w:t>
      </w:r>
      <w:r>
        <w:rPr>
          <w:spacing w:val="-7"/>
        </w:rPr>
        <w:t> </w:t>
      </w:r>
      <w:r>
        <w:rPr/>
        <w:t>granular</w:t>
      </w:r>
      <w:r>
        <w:rPr>
          <w:spacing w:val="-7"/>
        </w:rPr>
        <w:t> </w:t>
      </w:r>
      <w:r>
        <w:rPr/>
        <w:t>cash</w:t>
      </w:r>
      <w:r>
        <w:rPr>
          <w:spacing w:val="-9"/>
        </w:rPr>
        <w:t> </w:t>
      </w:r>
      <w:r>
        <w:rPr/>
        <w:t>flow</w:t>
      </w:r>
      <w:r>
        <w:rPr>
          <w:spacing w:val="-7"/>
        </w:rPr>
        <w:t> </w:t>
      </w:r>
      <w:r>
        <w:rPr/>
        <w:t>disclosures</w:t>
      </w:r>
      <w:r>
        <w:rPr>
          <w:spacing w:val="-7"/>
        </w:rPr>
        <w:t> </w:t>
      </w:r>
      <w:r>
        <w:rPr/>
        <w:t>attracted</w:t>
      </w:r>
      <w:r>
        <w:rPr>
          <w:spacing w:val="-6"/>
        </w:rPr>
        <w:t> </w:t>
      </w:r>
      <w:r>
        <w:rPr/>
        <w:t>greater</w:t>
      </w:r>
      <w:r>
        <w:rPr>
          <w:spacing w:val="-9"/>
        </w:rPr>
        <w:t> </w:t>
      </w:r>
      <w:r>
        <w:rPr/>
        <w:t>cross-border</w:t>
      </w:r>
      <w:r>
        <w:rPr>
          <w:spacing w:val="-7"/>
        </w:rPr>
        <w:t> </w:t>
      </w:r>
      <w:r>
        <w:rPr/>
        <w:t>equity</w:t>
      </w:r>
      <w:r>
        <w:rPr>
          <w:spacing w:val="-6"/>
        </w:rPr>
        <w:t> </w:t>
      </w:r>
      <w:r>
        <w:rPr/>
        <w:t>inflows</w:t>
      </w:r>
      <w:r>
        <w:rPr>
          <w:spacing w:val="-7"/>
        </w:rPr>
        <w:t> </w:t>
      </w:r>
      <w:r>
        <w:rPr/>
        <w:t>in</w:t>
      </w:r>
      <w:r>
        <w:rPr>
          <w:spacing w:val="-6"/>
        </w:rPr>
        <w:t> </w:t>
      </w:r>
      <w:r>
        <w:rPr/>
        <w:t>Angola and Nigeria. Similarly, Chikafa &amp; Bwanya (2020) in Zimbabwe identified that cash flow information played a pivotal role in sustaining valuation during hyperinflationary periods, when accrual-based figures were rendered unreliable. This observation echoes the work of Boateng</w:t>
      </w:r>
      <w:r>
        <w:rPr>
          <w:spacing w:val="-3"/>
        </w:rPr>
        <w:t> </w:t>
      </w:r>
      <w:r>
        <w:rPr/>
        <w:t>&amp;</w:t>
      </w:r>
      <w:r>
        <w:rPr>
          <w:spacing w:val="-5"/>
        </w:rPr>
        <w:t> </w:t>
      </w:r>
      <w:r>
        <w:rPr/>
        <w:t>Mensah</w:t>
      </w:r>
      <w:r>
        <w:rPr>
          <w:spacing w:val="-3"/>
        </w:rPr>
        <w:t> </w:t>
      </w:r>
      <w:r>
        <w:rPr/>
        <w:t>(2021)</w:t>
      </w:r>
      <w:r>
        <w:rPr>
          <w:spacing w:val="-4"/>
        </w:rPr>
        <w:t> </w:t>
      </w:r>
      <w:r>
        <w:rPr/>
        <w:t>in</w:t>
      </w:r>
      <w:r>
        <w:rPr>
          <w:spacing w:val="-5"/>
        </w:rPr>
        <w:t> </w:t>
      </w:r>
      <w:r>
        <w:rPr/>
        <w:t>Ghana,</w:t>
      </w:r>
      <w:r>
        <w:rPr>
          <w:spacing w:val="-4"/>
        </w:rPr>
        <w:t> </w:t>
      </w:r>
      <w:r>
        <w:rPr/>
        <w:t>who</w:t>
      </w:r>
      <w:r>
        <w:rPr>
          <w:spacing w:val="-6"/>
        </w:rPr>
        <w:t> </w:t>
      </w:r>
      <w:r>
        <w:rPr/>
        <w:t>posited</w:t>
      </w:r>
      <w:r>
        <w:rPr>
          <w:spacing w:val="-4"/>
        </w:rPr>
        <w:t> </w:t>
      </w:r>
      <w:r>
        <w:rPr/>
        <w:t>that</w:t>
      </w:r>
      <w:r>
        <w:rPr>
          <w:spacing w:val="-4"/>
        </w:rPr>
        <w:t> </w:t>
      </w:r>
      <w:r>
        <w:rPr/>
        <w:t>in</w:t>
      </w:r>
      <w:r>
        <w:rPr>
          <w:spacing w:val="-5"/>
        </w:rPr>
        <w:t> </w:t>
      </w:r>
      <w:r>
        <w:rPr/>
        <w:t>inflationary</w:t>
      </w:r>
      <w:r>
        <w:rPr>
          <w:spacing w:val="-3"/>
        </w:rPr>
        <w:t> </w:t>
      </w:r>
      <w:r>
        <w:rPr/>
        <w:t>or</w:t>
      </w:r>
      <w:r>
        <w:rPr>
          <w:spacing w:val="-4"/>
        </w:rPr>
        <w:t> </w:t>
      </w:r>
      <w:r>
        <w:rPr/>
        <w:t>exchange</w:t>
      </w:r>
      <w:r>
        <w:rPr>
          <w:spacing w:val="-5"/>
        </w:rPr>
        <w:t> </w:t>
      </w:r>
      <w:r>
        <w:rPr/>
        <w:t>rate–volatile</w:t>
      </w:r>
      <w:r>
        <w:rPr>
          <w:spacing w:val="-5"/>
        </w:rPr>
        <w:t> </w:t>
      </w:r>
      <w:r>
        <w:rPr/>
        <w:t>contexts,</w:t>
      </w:r>
      <w:r>
        <w:rPr>
          <w:spacing w:val="-4"/>
        </w:rPr>
        <w:t> </w:t>
      </w:r>
      <w:r>
        <w:rPr/>
        <w:t>cash</w:t>
      </w:r>
      <w:r>
        <w:rPr>
          <w:spacing w:val="-4"/>
        </w:rPr>
        <w:t> </w:t>
      </w:r>
      <w:r>
        <w:rPr/>
        <w:t>flow</w:t>
      </w:r>
      <w:r>
        <w:rPr>
          <w:spacing w:val="-5"/>
        </w:rPr>
        <w:t> </w:t>
      </w:r>
      <w:r>
        <w:rPr/>
        <w:t>data</w:t>
      </w:r>
      <w:r>
        <w:rPr>
          <w:spacing w:val="-5"/>
        </w:rPr>
        <w:t> </w:t>
      </w:r>
      <w:r>
        <w:rPr/>
        <w:t>offers</w:t>
      </w:r>
      <w:r>
        <w:rPr>
          <w:spacing w:val="-5"/>
        </w:rPr>
        <w:t> </w:t>
      </w:r>
      <w:r>
        <w:rPr/>
        <w:t>a</w:t>
      </w:r>
      <w:r>
        <w:rPr>
          <w:spacing w:val="-5"/>
        </w:rPr>
        <w:t> </w:t>
      </w:r>
      <w:r>
        <w:rPr/>
        <w:t>more</w:t>
      </w:r>
      <w:r>
        <w:rPr>
          <w:spacing w:val="-5"/>
        </w:rPr>
        <w:t> </w:t>
      </w:r>
      <w:r>
        <w:rPr/>
        <w:t>stable metric for long-term valuation. A further layer of complexity is introduced when examining the role of multinational corporations within Sub-Saharan Africa. Given their</w:t>
      </w:r>
      <w:r>
        <w:rPr>
          <w:spacing w:val="-3"/>
        </w:rPr>
        <w:t> </w:t>
      </w:r>
      <w:r>
        <w:rPr/>
        <w:t>dual exposure</w:t>
      </w:r>
      <w:r>
        <w:rPr>
          <w:spacing w:val="-1"/>
        </w:rPr>
        <w:t> </w:t>
      </w:r>
      <w:r>
        <w:rPr/>
        <w:t>to domestic</w:t>
      </w:r>
      <w:r>
        <w:rPr>
          <w:spacing w:val="-1"/>
        </w:rPr>
        <w:t> </w:t>
      </w:r>
      <w:r>
        <w:rPr/>
        <w:t>volatility and international capital market scrutiny,</w:t>
      </w:r>
      <w:r>
        <w:rPr>
          <w:spacing w:val="-2"/>
        </w:rPr>
        <w:t> </w:t>
      </w:r>
      <w:r>
        <w:rPr/>
        <w:t>these</w:t>
      </w:r>
      <w:r>
        <w:rPr>
          <w:spacing w:val="-2"/>
        </w:rPr>
        <w:t> </w:t>
      </w:r>
      <w:r>
        <w:rPr/>
        <w:t>entities</w:t>
      </w:r>
      <w:r>
        <w:rPr>
          <w:spacing w:val="-1"/>
        </w:rPr>
        <w:t> </w:t>
      </w:r>
      <w:r>
        <w:rPr/>
        <w:t>provide</w:t>
      </w:r>
      <w:r>
        <w:rPr>
          <w:spacing w:val="-1"/>
        </w:rPr>
        <w:t> </w:t>
      </w:r>
      <w:r>
        <w:rPr/>
        <w:t>fertile ground for examining the strategic deployment of cash flow reporting. Studies such as Moyo &amp; Sibanda (2022) in Botswana showed that multinationals that adhered to rigorous International Financial Reporting Standards (IFRS) cash flow disclosures enjoyed valuation premiums</w:t>
      </w:r>
      <w:r>
        <w:rPr>
          <w:spacing w:val="-11"/>
        </w:rPr>
        <w:t> </w:t>
      </w:r>
      <w:r>
        <w:rPr/>
        <w:t>relative</w:t>
      </w:r>
      <w:r>
        <w:rPr>
          <w:spacing w:val="-10"/>
        </w:rPr>
        <w:t> </w:t>
      </w:r>
      <w:r>
        <w:rPr/>
        <w:t>to</w:t>
      </w:r>
      <w:r>
        <w:rPr>
          <w:spacing w:val="-10"/>
        </w:rPr>
        <w:t> </w:t>
      </w:r>
      <w:r>
        <w:rPr/>
        <w:t>domestic</w:t>
      </w:r>
      <w:r>
        <w:rPr>
          <w:spacing w:val="-9"/>
        </w:rPr>
        <w:t> </w:t>
      </w:r>
      <w:r>
        <w:rPr/>
        <w:t>firms.</w:t>
      </w:r>
      <w:r>
        <w:rPr>
          <w:spacing w:val="-9"/>
        </w:rPr>
        <w:t> </w:t>
      </w:r>
      <w:r>
        <w:rPr/>
        <w:t>Parallel</w:t>
      </w:r>
      <w:r>
        <w:rPr>
          <w:spacing w:val="-9"/>
        </w:rPr>
        <w:t> </w:t>
      </w:r>
      <w:r>
        <w:rPr/>
        <w:t>findings</w:t>
      </w:r>
      <w:r>
        <w:rPr>
          <w:spacing w:val="-12"/>
        </w:rPr>
        <w:t> </w:t>
      </w:r>
      <w:r>
        <w:rPr/>
        <w:t>by</w:t>
      </w:r>
      <w:r>
        <w:rPr>
          <w:spacing w:val="-9"/>
        </w:rPr>
        <w:t> </w:t>
      </w:r>
      <w:r>
        <w:rPr/>
        <w:t>Adekunle</w:t>
      </w:r>
      <w:r>
        <w:rPr>
          <w:spacing w:val="-12"/>
        </w:rPr>
        <w:t> </w:t>
      </w:r>
      <w:r>
        <w:rPr/>
        <w:t>&amp;</w:t>
      </w:r>
      <w:r>
        <w:rPr>
          <w:spacing w:val="-9"/>
        </w:rPr>
        <w:t> </w:t>
      </w:r>
      <w:r>
        <w:rPr/>
        <w:t>Lawal</w:t>
      </w:r>
      <w:r>
        <w:rPr>
          <w:spacing w:val="-9"/>
        </w:rPr>
        <w:t> </w:t>
      </w:r>
      <w:r>
        <w:rPr/>
        <w:t>(2021)</w:t>
      </w:r>
      <w:r>
        <w:rPr>
          <w:spacing w:val="-9"/>
        </w:rPr>
        <w:t> </w:t>
      </w:r>
      <w:r>
        <w:rPr/>
        <w:t>revealed</w:t>
      </w:r>
      <w:r>
        <w:rPr>
          <w:spacing w:val="-8"/>
        </w:rPr>
        <w:t> </w:t>
      </w:r>
      <w:r>
        <w:rPr/>
        <w:t>that</w:t>
      </w:r>
      <w:r>
        <w:rPr>
          <w:spacing w:val="-11"/>
        </w:rPr>
        <w:t> </w:t>
      </w:r>
      <w:r>
        <w:rPr/>
        <w:t>in</w:t>
      </w:r>
      <w:r>
        <w:rPr>
          <w:spacing w:val="-12"/>
        </w:rPr>
        <w:t> </w:t>
      </w:r>
      <w:r>
        <w:rPr/>
        <w:t>Nigeria,</w:t>
      </w:r>
      <w:r>
        <w:rPr>
          <w:spacing w:val="-8"/>
        </w:rPr>
        <w:t> </w:t>
      </w:r>
      <w:r>
        <w:rPr/>
        <w:t>multinational</w:t>
      </w:r>
      <w:r>
        <w:rPr>
          <w:spacing w:val="-9"/>
        </w:rPr>
        <w:t> </w:t>
      </w:r>
      <w:r>
        <w:rPr/>
        <w:t>subsidiaries</w:t>
      </w:r>
      <w:r>
        <w:rPr>
          <w:spacing w:val="-10"/>
        </w:rPr>
        <w:t> </w:t>
      </w:r>
      <w:r>
        <w:rPr/>
        <w:t>listed on the local exchange achieved greater market capitalization when their parent companies aligned their reporting with global cash flow standards.</w:t>
      </w:r>
      <w:r>
        <w:rPr>
          <w:spacing w:val="-4"/>
        </w:rPr>
        <w:t> </w:t>
      </w:r>
      <w:r>
        <w:rPr/>
        <w:t>In</w:t>
      </w:r>
      <w:r>
        <w:rPr>
          <w:spacing w:val="-3"/>
        </w:rPr>
        <w:t> </w:t>
      </w:r>
      <w:r>
        <w:rPr/>
        <w:t>sum,</w:t>
      </w:r>
      <w:r>
        <w:rPr>
          <w:spacing w:val="-4"/>
        </w:rPr>
        <w:t> </w:t>
      </w:r>
      <w:r>
        <w:rPr/>
        <w:t>extant</w:t>
      </w:r>
      <w:r>
        <w:rPr>
          <w:spacing w:val="-2"/>
        </w:rPr>
        <w:t> </w:t>
      </w:r>
      <w:r>
        <w:rPr/>
        <w:t>empirical</w:t>
      </w:r>
      <w:r>
        <w:rPr>
          <w:spacing w:val="-2"/>
        </w:rPr>
        <w:t> </w:t>
      </w:r>
      <w:r>
        <w:rPr/>
        <w:t>scholarship</w:t>
      </w:r>
      <w:r>
        <w:rPr>
          <w:spacing w:val="-3"/>
        </w:rPr>
        <w:t> </w:t>
      </w:r>
      <w:r>
        <w:rPr/>
        <w:t>converges</w:t>
      </w:r>
      <w:r>
        <w:rPr>
          <w:spacing w:val="-5"/>
        </w:rPr>
        <w:t> </w:t>
      </w:r>
      <w:r>
        <w:rPr/>
        <w:t>on</w:t>
      </w:r>
      <w:r>
        <w:rPr>
          <w:spacing w:val="-3"/>
        </w:rPr>
        <w:t> </w:t>
      </w:r>
      <w:r>
        <w:rPr/>
        <w:t>the</w:t>
      </w:r>
      <w:r>
        <w:rPr>
          <w:spacing w:val="-3"/>
        </w:rPr>
        <w:t> </w:t>
      </w:r>
      <w:r>
        <w:rPr/>
        <w:t>argument</w:t>
      </w:r>
      <w:r>
        <w:rPr>
          <w:spacing w:val="-4"/>
        </w:rPr>
        <w:t> </w:t>
      </w:r>
      <w:r>
        <w:rPr/>
        <w:t>that</w:t>
      </w:r>
      <w:r>
        <w:rPr>
          <w:spacing w:val="-4"/>
        </w:rPr>
        <w:t> </w:t>
      </w:r>
      <w:r>
        <w:rPr/>
        <w:t>cash</w:t>
      </w:r>
      <w:r>
        <w:rPr>
          <w:spacing w:val="-2"/>
        </w:rPr>
        <w:t> </w:t>
      </w:r>
      <w:r>
        <w:rPr/>
        <w:t>flow</w:t>
      </w:r>
      <w:r>
        <w:rPr>
          <w:spacing w:val="-5"/>
        </w:rPr>
        <w:t> </w:t>
      </w:r>
      <w:r>
        <w:rPr/>
        <w:t>accounting</w:t>
      </w:r>
      <w:r>
        <w:rPr>
          <w:spacing w:val="-3"/>
        </w:rPr>
        <w:t> </w:t>
      </w:r>
      <w:r>
        <w:rPr/>
        <w:t>reporting</w:t>
      </w:r>
      <w:r>
        <w:rPr>
          <w:spacing w:val="-3"/>
        </w:rPr>
        <w:t> </w:t>
      </w:r>
      <w:r>
        <w:rPr/>
        <w:t>is</w:t>
      </w:r>
      <w:r>
        <w:rPr>
          <w:spacing w:val="-4"/>
        </w:rPr>
        <w:t> </w:t>
      </w:r>
      <w:r>
        <w:rPr/>
        <w:t>not</w:t>
      </w:r>
      <w:r>
        <w:rPr>
          <w:spacing w:val="-4"/>
        </w:rPr>
        <w:t> </w:t>
      </w:r>
      <w:r>
        <w:rPr/>
        <w:t>merely</w:t>
      </w:r>
      <w:r>
        <w:rPr>
          <w:spacing w:val="-3"/>
        </w:rPr>
        <w:t> </w:t>
      </w:r>
      <w:r>
        <w:rPr/>
        <w:t>supplementary but central to market valuation across Sub-Saharan Africa. Yet, while country-specific studies abound, there remains a paucity of comparative, multi-country analyses that interrogate how cash flow disclosures influence the valuation of multinationals operating in heterogeneous regulatory and market environments. This lacuna is significant, as multinational corporations often serve as bellwethers of capital market stability and attractors of foreign direct investment. Against this backdrop, the present study undertakes a systematic examination</w:t>
      </w:r>
      <w:r>
        <w:rPr>
          <w:spacing w:val="-8"/>
        </w:rPr>
        <w:t> </w:t>
      </w:r>
      <w:r>
        <w:rPr/>
        <w:t>of</w:t>
      </w:r>
      <w:r>
        <w:rPr>
          <w:spacing w:val="-8"/>
        </w:rPr>
        <w:t> </w:t>
      </w:r>
      <w:r>
        <w:rPr/>
        <w:t>the</w:t>
      </w:r>
      <w:r>
        <w:rPr>
          <w:spacing w:val="-7"/>
        </w:rPr>
        <w:t> </w:t>
      </w:r>
      <w:r>
        <w:rPr/>
        <w:t>relationship</w:t>
      </w:r>
      <w:r>
        <w:rPr>
          <w:spacing w:val="-8"/>
        </w:rPr>
        <w:t> </w:t>
      </w:r>
      <w:r>
        <w:rPr/>
        <w:t>between</w:t>
      </w:r>
      <w:r>
        <w:rPr>
          <w:spacing w:val="-6"/>
        </w:rPr>
        <w:t> </w:t>
      </w:r>
      <w:r>
        <w:rPr/>
        <w:t>cash</w:t>
      </w:r>
      <w:r>
        <w:rPr>
          <w:spacing w:val="-6"/>
        </w:rPr>
        <w:t> </w:t>
      </w:r>
      <w:r>
        <w:rPr/>
        <w:t>flow</w:t>
      </w:r>
      <w:r>
        <w:rPr>
          <w:spacing w:val="-9"/>
        </w:rPr>
        <w:t> </w:t>
      </w:r>
      <w:r>
        <w:rPr/>
        <w:t>accounting</w:t>
      </w:r>
      <w:r>
        <w:rPr>
          <w:spacing w:val="-6"/>
        </w:rPr>
        <w:t> </w:t>
      </w:r>
      <w:r>
        <w:rPr/>
        <w:t>reporting</w:t>
      </w:r>
      <w:r>
        <w:rPr>
          <w:spacing w:val="-8"/>
        </w:rPr>
        <w:t> </w:t>
      </w:r>
      <w:r>
        <w:rPr/>
        <w:t>and</w:t>
      </w:r>
      <w:r>
        <w:rPr>
          <w:spacing w:val="-6"/>
        </w:rPr>
        <w:t> </w:t>
      </w:r>
      <w:r>
        <w:rPr/>
        <w:t>the</w:t>
      </w:r>
      <w:r>
        <w:rPr>
          <w:spacing w:val="-7"/>
        </w:rPr>
        <w:t> </w:t>
      </w:r>
      <w:r>
        <w:rPr/>
        <w:t>market</w:t>
      </w:r>
      <w:r>
        <w:rPr>
          <w:spacing w:val="-9"/>
        </w:rPr>
        <w:t> </w:t>
      </w:r>
      <w:r>
        <w:rPr/>
        <w:t>valuation</w:t>
      </w:r>
      <w:r>
        <w:rPr>
          <w:spacing w:val="-8"/>
        </w:rPr>
        <w:t> </w:t>
      </w:r>
      <w:r>
        <w:rPr/>
        <w:t>of</w:t>
      </w:r>
      <w:r>
        <w:rPr>
          <w:spacing w:val="-9"/>
        </w:rPr>
        <w:t> </w:t>
      </w:r>
      <w:r>
        <w:rPr/>
        <w:t>selected</w:t>
      </w:r>
      <w:r>
        <w:rPr>
          <w:spacing w:val="-6"/>
        </w:rPr>
        <w:t> </w:t>
      </w:r>
      <w:r>
        <w:rPr/>
        <w:t>multinational</w:t>
      </w:r>
      <w:r>
        <w:rPr>
          <w:spacing w:val="-9"/>
        </w:rPr>
        <w:t> </w:t>
      </w:r>
      <w:r>
        <w:rPr/>
        <w:t>companies</w:t>
      </w:r>
      <w:r>
        <w:rPr>
          <w:spacing w:val="-7"/>
        </w:rPr>
        <w:t> </w:t>
      </w:r>
      <w:r>
        <w:rPr/>
        <w:t>across seven Sub-Saharan African countries. By doing so, it seeks to enrich both theory and practice, while offering regionally grounded insights for policymakers, investors, and corporate managers navigating the complexities of valuation in Africa’s evolving capital markets. The dynamic interplay between accounting information and capital market performance continues to occupy a central position in the discourse of financial reporting and valuation research. In particular, the relevance of cash flow reporting in explaining variations in firm market valuation has attracted heightened academic and policy interest, especially in emerging and transitional economies where institutional infrastructures and investor confidence are relatively fragile. While earnings and book values remain the traditional anchors of valuation models, there has been an increasing recognition that cash flow-based measures may offer a more resilient and transparent signal of firm performance, particularly within environments characterized by information asymmetry, regulatory inconsistencies, and volatile macroeconomic conditions such as those prevailing in Sub-Saharan Africa. Against this background, this study interrogates the nexus between cash flow accounting reporting and the market valuation</w:t>
      </w:r>
      <w:r>
        <w:rPr>
          <w:spacing w:val="-1"/>
        </w:rPr>
        <w:t> </w:t>
      </w:r>
      <w:r>
        <w:rPr/>
        <w:t>of selected multinational companies operating across</w:t>
      </w:r>
      <w:r>
        <w:rPr>
          <w:spacing w:val="-1"/>
        </w:rPr>
        <w:t> </w:t>
      </w:r>
      <w:r>
        <w:rPr/>
        <w:t>seven Sub-Saharan African</w:t>
      </w:r>
      <w:r>
        <w:rPr>
          <w:spacing w:val="-12"/>
        </w:rPr>
        <w:t> </w:t>
      </w:r>
      <w:r>
        <w:rPr/>
        <w:t>countries.</w:t>
      </w:r>
      <w:r>
        <w:rPr>
          <w:spacing w:val="-11"/>
        </w:rPr>
        <w:t> </w:t>
      </w:r>
      <w:r>
        <w:rPr/>
        <w:t>The</w:t>
      </w:r>
      <w:r>
        <w:rPr>
          <w:spacing w:val="-11"/>
        </w:rPr>
        <w:t> </w:t>
      </w:r>
      <w:r>
        <w:rPr/>
        <w:t>choice</w:t>
      </w:r>
      <w:r>
        <w:rPr>
          <w:spacing w:val="-11"/>
        </w:rPr>
        <w:t> </w:t>
      </w:r>
      <w:r>
        <w:rPr/>
        <w:t>of</w:t>
      </w:r>
      <w:r>
        <w:rPr>
          <w:spacing w:val="-12"/>
        </w:rPr>
        <w:t> </w:t>
      </w:r>
      <w:r>
        <w:rPr/>
        <w:t>multinationals</w:t>
      </w:r>
      <w:r>
        <w:rPr>
          <w:spacing w:val="-11"/>
        </w:rPr>
        <w:t> </w:t>
      </w:r>
      <w:r>
        <w:rPr/>
        <w:t>as</w:t>
      </w:r>
      <w:r>
        <w:rPr>
          <w:spacing w:val="-11"/>
        </w:rPr>
        <w:t> </w:t>
      </w:r>
      <w:r>
        <w:rPr/>
        <w:t>the</w:t>
      </w:r>
      <w:r>
        <w:rPr>
          <w:spacing w:val="-11"/>
        </w:rPr>
        <w:t> </w:t>
      </w:r>
      <w:r>
        <w:rPr/>
        <w:t>unit</w:t>
      </w:r>
      <w:r>
        <w:rPr>
          <w:spacing w:val="-12"/>
        </w:rPr>
        <w:t> </w:t>
      </w:r>
      <w:r>
        <w:rPr/>
        <w:t>of</w:t>
      </w:r>
      <w:r>
        <w:rPr>
          <w:spacing w:val="-11"/>
        </w:rPr>
        <w:t> </w:t>
      </w:r>
      <w:r>
        <w:rPr/>
        <w:t>analysis</w:t>
      </w:r>
      <w:r>
        <w:rPr>
          <w:spacing w:val="-11"/>
        </w:rPr>
        <w:t> </w:t>
      </w:r>
      <w:r>
        <w:rPr/>
        <w:t>is</w:t>
      </w:r>
      <w:r>
        <w:rPr>
          <w:spacing w:val="-11"/>
        </w:rPr>
        <w:t> </w:t>
      </w:r>
      <w:r>
        <w:rPr/>
        <w:t>deliberate,</w:t>
      </w:r>
      <w:r>
        <w:rPr>
          <w:spacing w:val="-12"/>
        </w:rPr>
        <w:t> </w:t>
      </w:r>
      <w:r>
        <w:rPr/>
        <w:t>given</w:t>
      </w:r>
      <w:r>
        <w:rPr>
          <w:spacing w:val="-11"/>
        </w:rPr>
        <w:t> </w:t>
      </w:r>
      <w:r>
        <w:rPr/>
        <w:t>their</w:t>
      </w:r>
      <w:r>
        <w:rPr>
          <w:spacing w:val="-11"/>
        </w:rPr>
        <w:t> </w:t>
      </w:r>
      <w:r>
        <w:rPr/>
        <w:t>central</w:t>
      </w:r>
      <w:r>
        <w:rPr>
          <w:spacing w:val="-11"/>
        </w:rPr>
        <w:t> </w:t>
      </w:r>
      <w:r>
        <w:rPr/>
        <w:t>role</w:t>
      </w:r>
      <w:r>
        <w:rPr>
          <w:spacing w:val="-12"/>
        </w:rPr>
        <w:t> </w:t>
      </w:r>
      <w:r>
        <w:rPr/>
        <w:t>in</w:t>
      </w:r>
      <w:r>
        <w:rPr>
          <w:spacing w:val="-11"/>
        </w:rPr>
        <w:t> </w:t>
      </w:r>
      <w:r>
        <w:rPr/>
        <w:t>driving</w:t>
      </w:r>
      <w:r>
        <w:rPr>
          <w:spacing w:val="-11"/>
        </w:rPr>
        <w:t> </w:t>
      </w:r>
      <w:r>
        <w:rPr/>
        <w:t>foreign</w:t>
      </w:r>
      <w:r>
        <w:rPr>
          <w:spacing w:val="-11"/>
        </w:rPr>
        <w:t> </w:t>
      </w:r>
      <w:r>
        <w:rPr/>
        <w:t>direct</w:t>
      </w:r>
      <w:r>
        <w:rPr>
          <w:spacing w:val="-12"/>
        </w:rPr>
        <w:t> </w:t>
      </w:r>
      <w:r>
        <w:rPr/>
        <w:t>investment inflows,</w:t>
      </w:r>
      <w:r>
        <w:rPr>
          <w:spacing w:val="-6"/>
        </w:rPr>
        <w:t> </w:t>
      </w:r>
      <w:r>
        <w:rPr/>
        <w:t>capital</w:t>
      </w:r>
      <w:r>
        <w:rPr>
          <w:spacing w:val="-6"/>
        </w:rPr>
        <w:t> </w:t>
      </w:r>
      <w:r>
        <w:rPr/>
        <w:t>market</w:t>
      </w:r>
      <w:r>
        <w:rPr>
          <w:spacing w:val="-6"/>
        </w:rPr>
        <w:t> </w:t>
      </w:r>
      <w:r>
        <w:rPr/>
        <w:t>depth,</w:t>
      </w:r>
      <w:r>
        <w:rPr>
          <w:spacing w:val="-6"/>
        </w:rPr>
        <w:t> </w:t>
      </w:r>
      <w:r>
        <w:rPr/>
        <w:t>and</w:t>
      </w:r>
      <w:r>
        <w:rPr>
          <w:spacing w:val="-8"/>
        </w:rPr>
        <w:t> </w:t>
      </w:r>
      <w:r>
        <w:rPr/>
        <w:t>cross-border</w:t>
      </w:r>
      <w:r>
        <w:rPr>
          <w:spacing w:val="-7"/>
        </w:rPr>
        <w:t> </w:t>
      </w:r>
      <w:r>
        <w:rPr/>
        <w:t>corporate</w:t>
      </w:r>
      <w:r>
        <w:rPr>
          <w:spacing w:val="-7"/>
        </w:rPr>
        <w:t> </w:t>
      </w:r>
      <w:r>
        <w:rPr/>
        <w:t>governance</w:t>
      </w:r>
      <w:r>
        <w:rPr>
          <w:spacing w:val="-7"/>
        </w:rPr>
        <w:t> </w:t>
      </w:r>
      <w:r>
        <w:rPr/>
        <w:t>practices.</w:t>
      </w:r>
      <w:r>
        <w:rPr>
          <w:spacing w:val="-6"/>
        </w:rPr>
        <w:t> </w:t>
      </w:r>
      <w:r>
        <w:rPr/>
        <w:t>Moreover,</w:t>
      </w:r>
      <w:r>
        <w:rPr>
          <w:spacing w:val="-6"/>
        </w:rPr>
        <w:t> </w:t>
      </w:r>
      <w:r>
        <w:rPr/>
        <w:t>their</w:t>
      </w:r>
      <w:r>
        <w:rPr>
          <w:spacing w:val="-6"/>
        </w:rPr>
        <w:t> </w:t>
      </w:r>
      <w:r>
        <w:rPr/>
        <w:t>reporting</w:t>
      </w:r>
      <w:r>
        <w:rPr>
          <w:spacing w:val="-6"/>
        </w:rPr>
        <w:t> </w:t>
      </w:r>
      <w:r>
        <w:rPr/>
        <w:t>structures</w:t>
      </w:r>
      <w:r>
        <w:rPr>
          <w:spacing w:val="-7"/>
        </w:rPr>
        <w:t> </w:t>
      </w:r>
      <w:r>
        <w:rPr/>
        <w:t>often</w:t>
      </w:r>
      <w:r>
        <w:rPr>
          <w:spacing w:val="-6"/>
        </w:rPr>
        <w:t> </w:t>
      </w:r>
      <w:r>
        <w:rPr/>
        <w:t>conform</w:t>
      </w:r>
      <w:r>
        <w:rPr>
          <w:spacing w:val="-7"/>
        </w:rPr>
        <w:t> </w:t>
      </w:r>
      <w:r>
        <w:rPr/>
        <w:t>to</w:t>
      </w:r>
      <w:r>
        <w:rPr>
          <w:spacing w:val="-5"/>
        </w:rPr>
        <w:t> </w:t>
      </w:r>
      <w:r>
        <w:rPr/>
        <w:t>global standards,</w:t>
      </w:r>
      <w:r>
        <w:rPr>
          <w:spacing w:val="-2"/>
        </w:rPr>
        <w:t> </w:t>
      </w:r>
      <w:r>
        <w:rPr/>
        <w:t>thereby</w:t>
      </w:r>
      <w:r>
        <w:rPr>
          <w:spacing w:val="-3"/>
        </w:rPr>
        <w:t> </w:t>
      </w:r>
      <w:r>
        <w:rPr/>
        <w:t>providing</w:t>
      </w:r>
      <w:r>
        <w:rPr>
          <w:spacing w:val="-1"/>
        </w:rPr>
        <w:t> </w:t>
      </w:r>
      <w:r>
        <w:rPr/>
        <w:t>a</w:t>
      </w:r>
      <w:r>
        <w:rPr>
          <w:spacing w:val="-5"/>
        </w:rPr>
        <w:t> </w:t>
      </w:r>
      <w:r>
        <w:rPr/>
        <w:t>unique</w:t>
      </w:r>
      <w:r>
        <w:rPr>
          <w:spacing w:val="-3"/>
        </w:rPr>
        <w:t> </w:t>
      </w:r>
      <w:r>
        <w:rPr/>
        <w:t>opportunity</w:t>
      </w:r>
      <w:r>
        <w:rPr>
          <w:spacing w:val="-1"/>
        </w:rPr>
        <w:t> </w:t>
      </w:r>
      <w:r>
        <w:rPr/>
        <w:t>to</w:t>
      </w:r>
      <w:r>
        <w:rPr>
          <w:spacing w:val="-1"/>
        </w:rPr>
        <w:t> </w:t>
      </w:r>
      <w:r>
        <w:rPr/>
        <w:t>examine</w:t>
      </w:r>
      <w:r>
        <w:rPr>
          <w:spacing w:val="-3"/>
        </w:rPr>
        <w:t> </w:t>
      </w:r>
      <w:r>
        <w:rPr/>
        <w:t>whether</w:t>
      </w:r>
      <w:r>
        <w:rPr>
          <w:spacing w:val="-2"/>
        </w:rPr>
        <w:t> </w:t>
      </w:r>
      <w:r>
        <w:rPr/>
        <w:t>the</w:t>
      </w:r>
      <w:r>
        <w:rPr>
          <w:spacing w:val="-3"/>
        </w:rPr>
        <w:t> </w:t>
      </w:r>
      <w:r>
        <w:rPr/>
        <w:t>theoretical</w:t>
      </w:r>
      <w:r>
        <w:rPr>
          <w:spacing w:val="-2"/>
        </w:rPr>
        <w:t> </w:t>
      </w:r>
      <w:r>
        <w:rPr/>
        <w:t>assertions</w:t>
      </w:r>
      <w:r>
        <w:rPr>
          <w:spacing w:val="-5"/>
        </w:rPr>
        <w:t> </w:t>
      </w:r>
      <w:r>
        <w:rPr/>
        <w:t>of</w:t>
      </w:r>
      <w:r>
        <w:rPr>
          <w:spacing w:val="-4"/>
        </w:rPr>
        <w:t> </w:t>
      </w:r>
      <w:r>
        <w:rPr/>
        <w:t>value</w:t>
      </w:r>
      <w:r>
        <w:rPr>
          <w:spacing w:val="-3"/>
        </w:rPr>
        <w:t> </w:t>
      </w:r>
      <w:r>
        <w:rPr/>
        <w:t>relevance</w:t>
      </w:r>
      <w:r>
        <w:rPr>
          <w:spacing w:val="-3"/>
        </w:rPr>
        <w:t> </w:t>
      </w:r>
      <w:r>
        <w:rPr/>
        <w:t>extend</w:t>
      </w:r>
      <w:r>
        <w:rPr>
          <w:spacing w:val="-3"/>
        </w:rPr>
        <w:t> </w:t>
      </w:r>
      <w:r>
        <w:rPr/>
        <w:t>uniformly</w:t>
      </w:r>
      <w:r>
        <w:rPr>
          <w:spacing w:val="-1"/>
        </w:rPr>
        <w:t> </w:t>
      </w:r>
      <w:r>
        <w:rPr/>
        <w:t>across diverse</w:t>
      </w:r>
      <w:r>
        <w:rPr>
          <w:spacing w:val="-7"/>
        </w:rPr>
        <w:t> </w:t>
      </w:r>
      <w:r>
        <w:rPr/>
        <w:t>institutional</w:t>
      </w:r>
      <w:r>
        <w:rPr>
          <w:spacing w:val="-5"/>
        </w:rPr>
        <w:t> </w:t>
      </w:r>
      <w:r>
        <w:rPr/>
        <w:t>contexts.</w:t>
      </w:r>
      <w:r>
        <w:rPr>
          <w:spacing w:val="-5"/>
        </w:rPr>
        <w:t> </w:t>
      </w:r>
      <w:r>
        <w:rPr/>
        <w:t>The</w:t>
      </w:r>
      <w:r>
        <w:rPr>
          <w:spacing w:val="-9"/>
        </w:rPr>
        <w:t> </w:t>
      </w:r>
      <w:r>
        <w:rPr/>
        <w:t>research</w:t>
      </w:r>
      <w:r>
        <w:rPr>
          <w:spacing w:val="-5"/>
        </w:rPr>
        <w:t> </w:t>
      </w:r>
      <w:r>
        <w:rPr/>
        <w:t>population</w:t>
      </w:r>
      <w:r>
        <w:rPr>
          <w:spacing w:val="-5"/>
        </w:rPr>
        <w:t> </w:t>
      </w:r>
      <w:r>
        <w:rPr/>
        <w:t>comprised</w:t>
      </w:r>
      <w:r>
        <w:rPr>
          <w:spacing w:val="-5"/>
        </w:rPr>
        <w:t> </w:t>
      </w:r>
      <w:r>
        <w:rPr/>
        <w:t>0ne</w:t>
      </w:r>
      <w:r>
        <w:rPr>
          <w:spacing w:val="-6"/>
        </w:rPr>
        <w:t> </w:t>
      </w:r>
      <w:r>
        <w:rPr/>
        <w:t>hundred</w:t>
      </w:r>
      <w:r>
        <w:rPr>
          <w:spacing w:val="-5"/>
        </w:rPr>
        <w:t> </w:t>
      </w:r>
      <w:r>
        <w:rPr/>
        <w:t>and</w:t>
      </w:r>
      <w:r>
        <w:rPr>
          <w:spacing w:val="-5"/>
        </w:rPr>
        <w:t> </w:t>
      </w:r>
      <w:r>
        <w:rPr/>
        <w:t>forty</w:t>
      </w:r>
      <w:r>
        <w:rPr>
          <w:spacing w:val="-5"/>
        </w:rPr>
        <w:t> </w:t>
      </w:r>
      <w:r>
        <w:rPr/>
        <w:t>(140)</w:t>
      </w:r>
      <w:r>
        <w:rPr>
          <w:spacing w:val="-6"/>
        </w:rPr>
        <w:t> </w:t>
      </w:r>
      <w:r>
        <w:rPr/>
        <w:t>multinational</w:t>
      </w:r>
      <w:r>
        <w:rPr>
          <w:spacing w:val="-5"/>
        </w:rPr>
        <w:t> </w:t>
      </w:r>
      <w:r>
        <w:rPr/>
        <w:t>firms</w:t>
      </w:r>
      <w:r>
        <w:rPr>
          <w:spacing w:val="-6"/>
        </w:rPr>
        <w:t> </w:t>
      </w:r>
      <w:r>
        <w:rPr/>
        <w:t>listed</w:t>
      </w:r>
      <w:r>
        <w:rPr>
          <w:spacing w:val="-5"/>
        </w:rPr>
        <w:t> </w:t>
      </w:r>
      <w:r>
        <w:rPr/>
        <w:t>within</w:t>
      </w:r>
      <w:r>
        <w:rPr>
          <w:spacing w:val="-5"/>
        </w:rPr>
        <w:t> </w:t>
      </w:r>
      <w:r>
        <w:rPr/>
        <w:t>the</w:t>
      </w:r>
      <w:r>
        <w:rPr>
          <w:spacing w:val="-6"/>
        </w:rPr>
        <w:t> </w:t>
      </w:r>
      <w:r>
        <w:rPr/>
        <w:t>region</w:t>
      </w:r>
      <w:r>
        <w:rPr>
          <w:spacing w:val="-5"/>
        </w:rPr>
        <w:t> </w:t>
      </w:r>
      <w:r>
        <w:rPr/>
        <w:t>as at</w:t>
      </w:r>
      <w:r>
        <w:rPr>
          <w:spacing w:val="-3"/>
        </w:rPr>
        <w:t> </w:t>
      </w:r>
      <w:r>
        <w:rPr/>
        <w:t>2024.</w:t>
      </w:r>
      <w:r>
        <w:rPr>
          <w:spacing w:val="-3"/>
        </w:rPr>
        <w:t> </w:t>
      </w:r>
      <w:r>
        <w:rPr/>
        <w:t>From</w:t>
      </w:r>
      <w:r>
        <w:rPr>
          <w:spacing w:val="-4"/>
        </w:rPr>
        <w:t> </w:t>
      </w:r>
      <w:r>
        <w:rPr/>
        <w:t>this</w:t>
      </w:r>
      <w:r>
        <w:rPr>
          <w:spacing w:val="-3"/>
        </w:rPr>
        <w:t> </w:t>
      </w:r>
      <w:r>
        <w:rPr/>
        <w:t>universe,</w:t>
      </w:r>
      <w:r>
        <w:rPr>
          <w:spacing w:val="-3"/>
        </w:rPr>
        <w:t> </w:t>
      </w:r>
      <w:r>
        <w:rPr/>
        <w:t>a</w:t>
      </w:r>
      <w:r>
        <w:rPr>
          <w:spacing w:val="-4"/>
        </w:rPr>
        <w:t> </w:t>
      </w:r>
      <w:r>
        <w:rPr/>
        <w:t>purposive</w:t>
      </w:r>
      <w:r>
        <w:rPr>
          <w:spacing w:val="-4"/>
        </w:rPr>
        <w:t> </w:t>
      </w:r>
      <w:r>
        <w:rPr/>
        <w:t>sample</w:t>
      </w:r>
      <w:r>
        <w:rPr>
          <w:spacing w:val="-4"/>
        </w:rPr>
        <w:t> </w:t>
      </w:r>
      <w:r>
        <w:rPr/>
        <w:t>of</w:t>
      </w:r>
      <w:r>
        <w:rPr>
          <w:spacing w:val="-3"/>
        </w:rPr>
        <w:t> </w:t>
      </w:r>
      <w:r>
        <w:rPr/>
        <w:t>fourteen</w:t>
      </w:r>
      <w:r>
        <w:rPr>
          <w:spacing w:val="-2"/>
        </w:rPr>
        <w:t> </w:t>
      </w:r>
      <w:r>
        <w:rPr/>
        <w:t>(14)</w:t>
      </w:r>
      <w:r>
        <w:rPr>
          <w:spacing w:val="-3"/>
        </w:rPr>
        <w:t> </w:t>
      </w:r>
      <w:r>
        <w:rPr/>
        <w:t>firms</w:t>
      </w:r>
      <w:r>
        <w:rPr>
          <w:spacing w:val="-4"/>
        </w:rPr>
        <w:t> </w:t>
      </w:r>
      <w:r>
        <w:rPr/>
        <w:t>was</w:t>
      </w:r>
      <w:r>
        <w:rPr>
          <w:spacing w:val="-2"/>
        </w:rPr>
        <w:t> </w:t>
      </w:r>
      <w:r>
        <w:rPr/>
        <w:t>selected,</w:t>
      </w:r>
      <w:r>
        <w:rPr>
          <w:spacing w:val="-3"/>
        </w:rPr>
        <w:t> </w:t>
      </w:r>
      <w:r>
        <w:rPr/>
        <w:t>representing</w:t>
      </w:r>
      <w:r>
        <w:rPr>
          <w:spacing w:val="-2"/>
        </w:rPr>
        <w:t> </w:t>
      </w:r>
      <w:r>
        <w:rPr/>
        <w:t>two</w:t>
      </w:r>
      <w:r>
        <w:rPr>
          <w:spacing w:val="-5"/>
        </w:rPr>
        <w:t> </w:t>
      </w:r>
      <w:r>
        <w:rPr/>
        <w:t>multinationals</w:t>
      </w:r>
      <w:r>
        <w:rPr>
          <w:spacing w:val="-3"/>
        </w:rPr>
        <w:t> </w:t>
      </w:r>
      <w:r>
        <w:rPr/>
        <w:t>from</w:t>
      </w:r>
      <w:r>
        <w:rPr>
          <w:spacing w:val="-4"/>
        </w:rPr>
        <w:t> </w:t>
      </w:r>
      <w:r>
        <w:rPr/>
        <w:t>each</w:t>
      </w:r>
      <w:r>
        <w:rPr>
          <w:spacing w:val="-2"/>
        </w:rPr>
        <w:t> </w:t>
      </w:r>
      <w:r>
        <w:rPr/>
        <w:t>of</w:t>
      </w:r>
      <w:r>
        <w:rPr>
          <w:spacing w:val="-3"/>
        </w:rPr>
        <w:t> </w:t>
      </w:r>
      <w:r>
        <w:rPr/>
        <w:t>the</w:t>
      </w:r>
      <w:r>
        <w:rPr>
          <w:spacing w:val="-4"/>
        </w:rPr>
        <w:t> </w:t>
      </w:r>
      <w:r>
        <w:rPr/>
        <w:t>seven study</w:t>
      </w:r>
      <w:r>
        <w:rPr>
          <w:spacing w:val="-5"/>
        </w:rPr>
        <w:t> </w:t>
      </w:r>
      <w:r>
        <w:rPr/>
        <w:t>countries.</w:t>
      </w:r>
      <w:r>
        <w:rPr>
          <w:spacing w:val="-5"/>
        </w:rPr>
        <w:t> </w:t>
      </w:r>
      <w:r>
        <w:rPr/>
        <w:t>This</w:t>
      </w:r>
      <w:r>
        <w:rPr>
          <w:spacing w:val="-6"/>
        </w:rPr>
        <w:t> </w:t>
      </w:r>
      <w:r>
        <w:rPr/>
        <w:t>filtering</w:t>
      </w:r>
      <w:r>
        <w:rPr>
          <w:spacing w:val="-5"/>
        </w:rPr>
        <w:t> </w:t>
      </w:r>
      <w:r>
        <w:rPr/>
        <w:t>process</w:t>
      </w:r>
      <w:r>
        <w:rPr>
          <w:spacing w:val="-7"/>
        </w:rPr>
        <w:t> </w:t>
      </w:r>
      <w:r>
        <w:rPr/>
        <w:t>was</w:t>
      </w:r>
      <w:r>
        <w:rPr>
          <w:spacing w:val="-6"/>
        </w:rPr>
        <w:t> </w:t>
      </w:r>
      <w:r>
        <w:rPr/>
        <w:t>guided</w:t>
      </w:r>
      <w:r>
        <w:rPr>
          <w:spacing w:val="-5"/>
        </w:rPr>
        <w:t> </w:t>
      </w:r>
      <w:r>
        <w:rPr/>
        <w:t>by</w:t>
      </w:r>
      <w:r>
        <w:rPr>
          <w:spacing w:val="-5"/>
        </w:rPr>
        <w:t> </w:t>
      </w:r>
      <w:r>
        <w:rPr/>
        <w:t>the</w:t>
      </w:r>
      <w:r>
        <w:rPr>
          <w:spacing w:val="-6"/>
        </w:rPr>
        <w:t> </w:t>
      </w:r>
      <w:r>
        <w:rPr/>
        <w:t>availability</w:t>
      </w:r>
      <w:r>
        <w:rPr>
          <w:spacing w:val="-5"/>
        </w:rPr>
        <w:t> </w:t>
      </w:r>
      <w:r>
        <w:rPr/>
        <w:t>of</w:t>
      </w:r>
      <w:r>
        <w:rPr>
          <w:spacing w:val="-6"/>
        </w:rPr>
        <w:t> </w:t>
      </w:r>
      <w:r>
        <w:rPr/>
        <w:t>complete</w:t>
      </w:r>
      <w:r>
        <w:rPr>
          <w:spacing w:val="-6"/>
        </w:rPr>
        <w:t> </w:t>
      </w:r>
      <w:r>
        <w:rPr/>
        <w:t>financial</w:t>
      </w:r>
      <w:r>
        <w:rPr>
          <w:spacing w:val="-6"/>
        </w:rPr>
        <w:t> </w:t>
      </w:r>
      <w:r>
        <w:rPr/>
        <w:t>statements,</w:t>
      </w:r>
      <w:r>
        <w:rPr>
          <w:spacing w:val="-5"/>
        </w:rPr>
        <w:t> </w:t>
      </w:r>
      <w:r>
        <w:rPr/>
        <w:t>the</w:t>
      </w:r>
      <w:r>
        <w:rPr>
          <w:spacing w:val="-6"/>
        </w:rPr>
        <w:t> </w:t>
      </w:r>
      <w:r>
        <w:rPr/>
        <w:t>exclusion</w:t>
      </w:r>
      <w:r>
        <w:rPr>
          <w:spacing w:val="-5"/>
        </w:rPr>
        <w:t> </w:t>
      </w:r>
      <w:r>
        <w:rPr/>
        <w:t>of</w:t>
      </w:r>
      <w:r>
        <w:rPr>
          <w:spacing w:val="-6"/>
        </w:rPr>
        <w:t> </w:t>
      </w:r>
      <w:r>
        <w:rPr/>
        <w:t>firms</w:t>
      </w:r>
      <w:r>
        <w:rPr>
          <w:spacing w:val="-6"/>
        </w:rPr>
        <w:t> </w:t>
      </w:r>
      <w:r>
        <w:rPr/>
        <w:t>under</w:t>
      </w:r>
      <w:r>
        <w:rPr>
          <w:spacing w:val="-6"/>
        </w:rPr>
        <w:t> </w:t>
      </w:r>
      <w:r>
        <w:rPr/>
        <w:t>technical suspension, the non-existence of consistent reporting trends, and the imperative of ensuring comparability across jurisdictions. Secondary data were meticulously obtained from the published annual reports and accounts of these corporations. The extracted figures were subsequently subjected to econometric analysis using Stata software, ensuring methodological rigor and statistical robustness. Market valuation, proxied by share price, was measured four months after the end of each financial year to accommodate information assimilation and</w:t>
      </w:r>
      <w:r>
        <w:rPr>
          <w:spacing w:val="-10"/>
        </w:rPr>
        <w:t> </w:t>
      </w:r>
      <w:r>
        <w:rPr/>
        <w:t>trading</w:t>
      </w:r>
      <w:r>
        <w:rPr>
          <w:spacing w:val="-10"/>
        </w:rPr>
        <w:t> </w:t>
      </w:r>
      <w:r>
        <w:rPr/>
        <w:t>adjustments</w:t>
      </w:r>
      <w:r>
        <w:rPr>
          <w:spacing w:val="-12"/>
        </w:rPr>
        <w:t> </w:t>
      </w:r>
      <w:r>
        <w:rPr/>
        <w:t>by</w:t>
      </w:r>
      <w:r>
        <w:rPr>
          <w:spacing w:val="-9"/>
        </w:rPr>
        <w:t> </w:t>
      </w:r>
      <w:r>
        <w:rPr/>
        <w:t>investors,</w:t>
      </w:r>
      <w:r>
        <w:rPr>
          <w:spacing w:val="-11"/>
        </w:rPr>
        <w:t> </w:t>
      </w:r>
      <w:r>
        <w:rPr/>
        <w:t>consistent</w:t>
      </w:r>
      <w:r>
        <w:rPr>
          <w:spacing w:val="-11"/>
        </w:rPr>
        <w:t> </w:t>
      </w:r>
      <w:r>
        <w:rPr/>
        <w:t>with</w:t>
      </w:r>
      <w:r>
        <w:rPr>
          <w:spacing w:val="-10"/>
        </w:rPr>
        <w:t> </w:t>
      </w:r>
      <w:r>
        <w:rPr/>
        <w:t>the</w:t>
      </w:r>
      <w:r>
        <w:rPr>
          <w:spacing w:val="-12"/>
        </w:rPr>
        <w:t> </w:t>
      </w:r>
      <w:r>
        <w:rPr/>
        <w:t>approaches</w:t>
      </w:r>
      <w:r>
        <w:rPr>
          <w:spacing w:val="-11"/>
        </w:rPr>
        <w:t> </w:t>
      </w:r>
      <w:r>
        <w:rPr/>
        <w:t>of</w:t>
      </w:r>
      <w:r>
        <w:rPr>
          <w:spacing w:val="-10"/>
        </w:rPr>
        <w:t> </w:t>
      </w:r>
      <w:r>
        <w:rPr/>
        <w:t>Gan</w:t>
      </w:r>
      <w:r>
        <w:rPr>
          <w:spacing w:val="-10"/>
        </w:rPr>
        <w:t> </w:t>
      </w:r>
      <w:r>
        <w:rPr/>
        <w:t>et</w:t>
      </w:r>
      <w:r>
        <w:rPr>
          <w:spacing w:val="-9"/>
        </w:rPr>
        <w:t> </w:t>
      </w:r>
      <w:r>
        <w:rPr/>
        <w:t>al.</w:t>
      </w:r>
      <w:r>
        <w:rPr>
          <w:spacing w:val="-11"/>
        </w:rPr>
        <w:t> </w:t>
      </w:r>
      <w:r>
        <w:rPr/>
        <w:t>(2016)</w:t>
      </w:r>
      <w:r>
        <w:rPr>
          <w:spacing w:val="-11"/>
        </w:rPr>
        <w:t> </w:t>
      </w:r>
      <w:r>
        <w:rPr/>
        <w:t>and</w:t>
      </w:r>
      <w:r>
        <w:rPr>
          <w:spacing w:val="-10"/>
        </w:rPr>
        <w:t> </w:t>
      </w:r>
      <w:r>
        <w:rPr/>
        <w:t>Mirza</w:t>
      </w:r>
      <w:r>
        <w:rPr>
          <w:spacing w:val="-12"/>
        </w:rPr>
        <w:t> </w:t>
      </w:r>
      <w:r>
        <w:rPr/>
        <w:t>et</w:t>
      </w:r>
      <w:r>
        <w:rPr>
          <w:spacing w:val="-10"/>
        </w:rPr>
        <w:t> </w:t>
      </w:r>
      <w:r>
        <w:rPr/>
        <w:t>al.</w:t>
      </w:r>
      <w:r>
        <w:rPr>
          <w:spacing w:val="-11"/>
        </w:rPr>
        <w:t> </w:t>
      </w:r>
      <w:r>
        <w:rPr/>
        <w:t>(2019).</w:t>
      </w:r>
      <w:r>
        <w:rPr>
          <w:spacing w:val="-11"/>
        </w:rPr>
        <w:t> </w:t>
      </w:r>
      <w:r>
        <w:rPr/>
        <w:t>The</w:t>
      </w:r>
      <w:r>
        <w:rPr>
          <w:spacing w:val="-12"/>
        </w:rPr>
        <w:t> </w:t>
      </w:r>
      <w:r>
        <w:rPr/>
        <w:t>study’s</w:t>
      </w:r>
      <w:r>
        <w:rPr>
          <w:spacing w:val="-11"/>
        </w:rPr>
        <w:t> </w:t>
      </w:r>
      <w:r>
        <w:rPr/>
        <w:t>key</w:t>
      </w:r>
      <w:r>
        <w:rPr>
          <w:spacing w:val="-9"/>
        </w:rPr>
        <w:t> </w:t>
      </w:r>
      <w:r>
        <w:rPr/>
        <w:t>explanatory variables include Earnings per Share (EPS), Book Value per Share (BVPS), Free Cash Flow (FCF), Operating Cash Flow Ratio (OCFR), and</w:t>
      </w:r>
      <w:r>
        <w:rPr>
          <w:spacing w:val="-2"/>
        </w:rPr>
        <w:t> </w:t>
      </w:r>
      <w:r>
        <w:rPr/>
        <w:t>Capital</w:t>
      </w:r>
      <w:r>
        <w:rPr>
          <w:spacing w:val="-3"/>
        </w:rPr>
        <w:t> </w:t>
      </w:r>
      <w:r>
        <w:rPr/>
        <w:t>Expenditure</w:t>
      </w:r>
      <w:r>
        <w:rPr>
          <w:spacing w:val="-4"/>
        </w:rPr>
        <w:t> </w:t>
      </w:r>
      <w:r>
        <w:rPr/>
        <w:t>to</w:t>
      </w:r>
      <w:r>
        <w:rPr>
          <w:spacing w:val="-2"/>
        </w:rPr>
        <w:t> </w:t>
      </w:r>
      <w:r>
        <w:rPr/>
        <w:t>Cash</w:t>
      </w:r>
      <w:r>
        <w:rPr>
          <w:spacing w:val="-7"/>
        </w:rPr>
        <w:t> </w:t>
      </w:r>
      <w:r>
        <w:rPr/>
        <w:t>Flow</w:t>
      </w:r>
      <w:r>
        <w:rPr>
          <w:spacing w:val="-4"/>
        </w:rPr>
        <w:t> </w:t>
      </w:r>
      <w:r>
        <w:rPr/>
        <w:t>Ratio</w:t>
      </w:r>
      <w:r>
        <w:rPr>
          <w:spacing w:val="-2"/>
        </w:rPr>
        <w:t> </w:t>
      </w:r>
      <w:r>
        <w:rPr/>
        <w:t>(CER).</w:t>
      </w:r>
      <w:r>
        <w:rPr>
          <w:spacing w:val="-2"/>
        </w:rPr>
        <w:t> </w:t>
      </w:r>
      <w:r>
        <w:rPr/>
        <w:t>Each</w:t>
      </w:r>
      <w:r>
        <w:rPr>
          <w:spacing w:val="-5"/>
        </w:rPr>
        <w:t> </w:t>
      </w:r>
      <w:r>
        <w:rPr/>
        <w:t>of</w:t>
      </w:r>
      <w:r>
        <w:rPr>
          <w:spacing w:val="-3"/>
        </w:rPr>
        <w:t> </w:t>
      </w:r>
      <w:r>
        <w:rPr/>
        <w:t>these</w:t>
      </w:r>
      <w:r>
        <w:rPr>
          <w:spacing w:val="-7"/>
        </w:rPr>
        <w:t> </w:t>
      </w:r>
      <w:r>
        <w:rPr/>
        <w:t>measures</w:t>
      </w:r>
      <w:r>
        <w:rPr>
          <w:spacing w:val="-4"/>
        </w:rPr>
        <w:t> </w:t>
      </w:r>
      <w:r>
        <w:rPr/>
        <w:t>captures</w:t>
      </w:r>
      <w:r>
        <w:rPr>
          <w:spacing w:val="-4"/>
        </w:rPr>
        <w:t> </w:t>
      </w:r>
      <w:r>
        <w:rPr/>
        <w:t>a</w:t>
      </w:r>
      <w:r>
        <w:rPr>
          <w:spacing w:val="-4"/>
        </w:rPr>
        <w:t> </w:t>
      </w:r>
      <w:r>
        <w:rPr/>
        <w:t>distinct</w:t>
      </w:r>
      <w:r>
        <w:rPr>
          <w:spacing w:val="-3"/>
        </w:rPr>
        <w:t> </w:t>
      </w:r>
      <w:r>
        <w:rPr/>
        <w:t>facet</w:t>
      </w:r>
      <w:r>
        <w:rPr>
          <w:spacing w:val="-5"/>
        </w:rPr>
        <w:t> </w:t>
      </w:r>
      <w:r>
        <w:rPr/>
        <w:t>of</w:t>
      </w:r>
      <w:r>
        <w:rPr>
          <w:spacing w:val="-3"/>
        </w:rPr>
        <w:t> </w:t>
      </w:r>
      <w:r>
        <w:rPr/>
        <w:t>financial</w:t>
      </w:r>
      <w:r>
        <w:rPr>
          <w:spacing w:val="-6"/>
        </w:rPr>
        <w:t> </w:t>
      </w:r>
      <w:r>
        <w:rPr/>
        <w:t>performance,</w:t>
      </w:r>
      <w:r>
        <w:rPr>
          <w:spacing w:val="-3"/>
        </w:rPr>
        <w:t> </w:t>
      </w:r>
      <w:r>
        <w:rPr/>
        <w:t>ranging</w:t>
      </w:r>
      <w:r>
        <w:rPr>
          <w:spacing w:val="-5"/>
        </w:rPr>
        <w:t> </w:t>
      </w:r>
      <w:r>
        <w:rPr/>
        <w:t>from</w:t>
      </w:r>
    </w:p>
    <w:p>
      <w:pPr>
        <w:pStyle w:val="BodyText"/>
        <w:spacing w:after="0"/>
        <w:sectPr>
          <w:pgSz w:w="11910" w:h="16840"/>
          <w:pgMar w:header="474" w:footer="301" w:top="700" w:bottom="500" w:left="566" w:right="566"/>
        </w:sectPr>
      </w:pPr>
    </w:p>
    <w:p>
      <w:pPr>
        <w:pStyle w:val="BodyText"/>
        <w:spacing w:before="192"/>
        <w:ind w:right="363" w:firstLine="0"/>
      </w:pPr>
      <w:r>
        <w:rPr/>
        <w:t>profitability and asset claims to liquidity sustainability and investment capacity. The inclusion of control variables—firm size (proxied by the natural logarithm of total assets) and firm age (measured from the date of incorporation to each study year)—further strengthens the robustness</w:t>
      </w:r>
      <w:r>
        <w:rPr>
          <w:spacing w:val="-1"/>
        </w:rPr>
        <w:t> </w:t>
      </w:r>
      <w:r>
        <w:rPr/>
        <w:t>of the empirical framework by accounting for scale and maturity effects. To operationalize the investigation, the</w:t>
      </w:r>
      <w:r>
        <w:rPr>
          <w:spacing w:val="9"/>
        </w:rPr>
        <w:t> </w:t>
      </w:r>
      <w:r>
        <w:rPr/>
        <w:t>study employs a linear regression model adapted from Ohlson’s (1995) seminal valuation framework. The specification integrates both accounting-based indicators</w:t>
      </w:r>
      <w:r>
        <w:rPr>
          <w:spacing w:val="-5"/>
        </w:rPr>
        <w:t> </w:t>
      </w:r>
      <w:r>
        <w:rPr/>
        <w:t>and</w:t>
      </w:r>
      <w:r>
        <w:rPr>
          <w:spacing w:val="-3"/>
        </w:rPr>
        <w:t> </w:t>
      </w:r>
      <w:r>
        <w:rPr/>
        <w:t>cash</w:t>
      </w:r>
      <w:r>
        <w:rPr>
          <w:spacing w:val="-4"/>
        </w:rPr>
        <w:t> </w:t>
      </w:r>
      <w:r>
        <w:rPr/>
        <w:t>flow</w:t>
      </w:r>
      <w:r>
        <w:rPr>
          <w:spacing w:val="-5"/>
        </w:rPr>
        <w:t> </w:t>
      </w:r>
      <w:r>
        <w:rPr/>
        <w:t>measures,</w:t>
      </w:r>
      <w:r>
        <w:rPr>
          <w:spacing w:val="-4"/>
        </w:rPr>
        <w:t> </w:t>
      </w:r>
      <w:r>
        <w:rPr/>
        <w:t>thus</w:t>
      </w:r>
      <w:r>
        <w:rPr>
          <w:spacing w:val="-5"/>
        </w:rPr>
        <w:t> </w:t>
      </w:r>
      <w:r>
        <w:rPr/>
        <w:t>enabling</w:t>
      </w:r>
      <w:r>
        <w:rPr>
          <w:spacing w:val="-3"/>
        </w:rPr>
        <w:t> </w:t>
      </w:r>
      <w:r>
        <w:rPr/>
        <w:t>a</w:t>
      </w:r>
      <w:r>
        <w:rPr>
          <w:spacing w:val="-5"/>
        </w:rPr>
        <w:t> </w:t>
      </w:r>
      <w:r>
        <w:rPr/>
        <w:t>comprehensive</w:t>
      </w:r>
      <w:r>
        <w:rPr>
          <w:spacing w:val="-7"/>
        </w:rPr>
        <w:t> </w:t>
      </w:r>
      <w:r>
        <w:rPr/>
        <w:t>assessment</w:t>
      </w:r>
      <w:r>
        <w:rPr>
          <w:spacing w:val="-4"/>
        </w:rPr>
        <w:t> </w:t>
      </w:r>
      <w:r>
        <w:rPr/>
        <w:t>of</w:t>
      </w:r>
      <w:r>
        <w:rPr>
          <w:spacing w:val="-4"/>
        </w:rPr>
        <w:t> </w:t>
      </w:r>
      <w:r>
        <w:rPr/>
        <w:t>their</w:t>
      </w:r>
      <w:r>
        <w:rPr>
          <w:spacing w:val="-4"/>
        </w:rPr>
        <w:t> </w:t>
      </w:r>
      <w:r>
        <w:rPr/>
        <w:t>explanatory</w:t>
      </w:r>
      <w:r>
        <w:rPr>
          <w:spacing w:val="-3"/>
        </w:rPr>
        <w:t> </w:t>
      </w:r>
      <w:r>
        <w:rPr/>
        <w:t>power</w:t>
      </w:r>
      <w:r>
        <w:rPr>
          <w:spacing w:val="-4"/>
        </w:rPr>
        <w:t> </w:t>
      </w:r>
      <w:r>
        <w:rPr/>
        <w:t>in</w:t>
      </w:r>
      <w:r>
        <w:rPr>
          <w:spacing w:val="-3"/>
        </w:rPr>
        <w:t> </w:t>
      </w:r>
      <w:r>
        <w:rPr/>
        <w:t>determining</w:t>
      </w:r>
      <w:r>
        <w:rPr>
          <w:spacing w:val="-3"/>
        </w:rPr>
        <w:t> </w:t>
      </w:r>
      <w:r>
        <w:rPr/>
        <w:t>firm</w:t>
      </w:r>
      <w:r>
        <w:rPr>
          <w:spacing w:val="-5"/>
        </w:rPr>
        <w:t> </w:t>
      </w:r>
      <w:r>
        <w:rPr/>
        <w:t>market</w:t>
      </w:r>
      <w:r>
        <w:rPr>
          <w:spacing w:val="-6"/>
        </w:rPr>
        <w:t> </w:t>
      </w:r>
      <w:r>
        <w:rPr/>
        <w:t>value. By situating the analysis within the Sub-Saharan African context, the research not only extends the</w:t>
      </w:r>
      <w:r>
        <w:rPr>
          <w:spacing w:val="-2"/>
        </w:rPr>
        <w:t> </w:t>
      </w:r>
      <w:r>
        <w:rPr/>
        <w:t>frontier of empirical evidence on value relevance but also contributes to ongoing debates regarding the suitability of cash flow disclosures in enhancing market efficiency and investor decision-making. Ultimately, this study seeks to provide nuanced insights into whether cash flow accounting reporting exerts incremental value relevance beyond traditional accounting metrics in the valuation of multinationals, thereby informing both academic discourse and policy initiatives aimed at strengthening financial reporting quality in emerging economies.</w:t>
      </w:r>
    </w:p>
    <w:p>
      <w:pPr>
        <w:pStyle w:val="Heading2"/>
        <w:numPr>
          <w:ilvl w:val="0"/>
          <w:numId w:val="2"/>
        </w:numPr>
        <w:tabs>
          <w:tab w:pos="589" w:val="left" w:leader="none"/>
        </w:tabs>
        <w:spacing w:line="240" w:lineRule="auto" w:before="142" w:after="0"/>
        <w:ind w:left="589" w:right="0" w:hanging="220"/>
        <w:jc w:val="left"/>
      </w:pPr>
      <w:r>
        <w:rPr/>
        <w:t>Results</w:t>
      </w:r>
      <w:r>
        <w:rPr>
          <w:spacing w:val="-4"/>
        </w:rPr>
        <w:t> </w:t>
      </w:r>
      <w:r>
        <w:rPr/>
        <w:t>and</w:t>
      </w:r>
      <w:r>
        <w:rPr>
          <w:spacing w:val="-3"/>
        </w:rPr>
        <w:t> </w:t>
      </w:r>
      <w:r>
        <w:rPr>
          <w:spacing w:val="-2"/>
        </w:rPr>
        <w:t>Discussion</w:t>
      </w:r>
    </w:p>
    <w:p>
      <w:pPr>
        <w:pStyle w:val="Heading3"/>
        <w:numPr>
          <w:ilvl w:val="1"/>
          <w:numId w:val="2"/>
        </w:numPr>
        <w:tabs>
          <w:tab w:pos="719" w:val="left" w:leader="none"/>
        </w:tabs>
        <w:spacing w:line="240" w:lineRule="auto" w:before="99" w:after="0"/>
        <w:ind w:left="719" w:right="0" w:hanging="350"/>
        <w:jc w:val="left"/>
      </w:pPr>
      <w:r>
        <w:rPr/>
        <w:t>Descriptive</w:t>
      </w:r>
      <w:r>
        <w:rPr>
          <w:spacing w:val="-10"/>
        </w:rPr>
        <w:t> </w:t>
      </w:r>
      <w:r>
        <w:rPr>
          <w:spacing w:val="-2"/>
        </w:rPr>
        <w:t>Statistics</w:t>
      </w:r>
    </w:p>
    <w:p>
      <w:pPr>
        <w:pStyle w:val="BodyText"/>
        <w:spacing w:before="60"/>
        <w:ind w:right="363"/>
        <w:jc w:val="left"/>
      </w:pPr>
      <w:r>
        <w:rPr/>
        <w:t>Table 1 provides a descriptive summary of the study variables, highlighting both central tendencies and variations across the sampled </w:t>
      </w:r>
      <w:r>
        <w:rPr>
          <w:spacing w:val="-2"/>
        </w:rPr>
        <w:t>firms.</w:t>
      </w:r>
    </w:p>
    <w:p>
      <w:pPr>
        <w:spacing w:before="99" w:after="41"/>
        <w:ind w:left="369" w:right="0" w:firstLine="0"/>
        <w:jc w:val="left"/>
        <w:rPr>
          <w:sz w:val="17"/>
        </w:rPr>
      </w:pPr>
      <w:r>
        <w:rPr>
          <w:b/>
          <w:sz w:val="17"/>
        </w:rPr>
        <w:t>Table</w:t>
      </w:r>
      <w:r>
        <w:rPr>
          <w:b/>
          <w:spacing w:val="-4"/>
          <w:sz w:val="17"/>
        </w:rPr>
        <w:t> </w:t>
      </w:r>
      <w:r>
        <w:rPr>
          <w:b/>
          <w:sz w:val="17"/>
        </w:rPr>
        <w:t>1:</w:t>
      </w:r>
      <w:r>
        <w:rPr>
          <w:b/>
          <w:spacing w:val="-2"/>
          <w:sz w:val="17"/>
        </w:rPr>
        <w:t> </w:t>
      </w:r>
      <w:r>
        <w:rPr>
          <w:sz w:val="17"/>
        </w:rPr>
        <w:t>Descriptive</w:t>
      </w:r>
      <w:r>
        <w:rPr>
          <w:spacing w:val="-3"/>
          <w:sz w:val="17"/>
        </w:rPr>
        <w:t> </w:t>
      </w:r>
      <w:r>
        <w:rPr>
          <w:sz w:val="17"/>
        </w:rPr>
        <w:t>Statistics</w:t>
      </w:r>
      <w:r>
        <w:rPr>
          <w:spacing w:val="-4"/>
          <w:sz w:val="17"/>
        </w:rPr>
        <w:t> </w:t>
      </w:r>
      <w:r>
        <w:rPr>
          <w:sz w:val="17"/>
        </w:rPr>
        <w:t>of</w:t>
      </w:r>
      <w:r>
        <w:rPr>
          <w:spacing w:val="-2"/>
          <w:sz w:val="17"/>
        </w:rPr>
        <w:t> </w:t>
      </w:r>
      <w:r>
        <w:rPr>
          <w:sz w:val="17"/>
        </w:rPr>
        <w:t>the</w:t>
      </w:r>
      <w:r>
        <w:rPr>
          <w:spacing w:val="-2"/>
          <w:sz w:val="17"/>
        </w:rPr>
        <w:t> Variables</w:t>
      </w:r>
    </w:p>
    <w:tbl>
      <w:tblPr>
        <w:tblW w:w="0" w:type="auto"/>
        <w:jc w:val="left"/>
        <w:tblInd w:w="572" w:type="dxa"/>
        <w:tblBorders>
          <w:top w:val="single" w:sz="4" w:space="0" w:color="8D8D8D"/>
          <w:left w:val="single" w:sz="4" w:space="0" w:color="8D8D8D"/>
          <w:bottom w:val="single" w:sz="4" w:space="0" w:color="8D8D8D"/>
          <w:right w:val="single" w:sz="4" w:space="0" w:color="8D8D8D"/>
          <w:insideH w:val="single" w:sz="4" w:space="0" w:color="8D8D8D"/>
          <w:insideV w:val="single" w:sz="4" w:space="0" w:color="8D8D8D"/>
        </w:tblBorders>
        <w:tblLayout w:type="fixed"/>
        <w:tblCellMar>
          <w:top w:w="0" w:type="dxa"/>
          <w:left w:w="0" w:type="dxa"/>
          <w:bottom w:w="0" w:type="dxa"/>
          <w:right w:w="0" w:type="dxa"/>
        </w:tblCellMar>
        <w:tblLook w:val="01E0"/>
      </w:tblPr>
      <w:tblGrid>
        <w:gridCol w:w="1987"/>
        <w:gridCol w:w="1095"/>
        <w:gridCol w:w="1094"/>
        <w:gridCol w:w="1094"/>
        <w:gridCol w:w="1091"/>
        <w:gridCol w:w="1094"/>
        <w:gridCol w:w="1093"/>
        <w:gridCol w:w="1093"/>
      </w:tblGrid>
      <w:tr>
        <w:trPr>
          <w:trHeight w:val="230" w:hRule="atLeast"/>
        </w:trPr>
        <w:tc>
          <w:tcPr>
            <w:tcW w:w="1987" w:type="dxa"/>
            <w:shd w:val="clear" w:color="auto" w:fill="E7E7E7"/>
          </w:tcPr>
          <w:p>
            <w:pPr>
              <w:pStyle w:val="TableParagraph"/>
              <w:spacing w:before="35"/>
              <w:ind w:left="33"/>
              <w:jc w:val="left"/>
              <w:rPr>
                <w:b/>
                <w:sz w:val="14"/>
              </w:rPr>
            </w:pPr>
            <w:r>
              <w:rPr>
                <w:b/>
                <w:spacing w:val="-2"/>
                <w:sz w:val="14"/>
              </w:rPr>
              <w:t>Variable</w:t>
            </w:r>
          </w:p>
        </w:tc>
        <w:tc>
          <w:tcPr>
            <w:tcW w:w="1095" w:type="dxa"/>
            <w:shd w:val="clear" w:color="auto" w:fill="E7E7E7"/>
          </w:tcPr>
          <w:p>
            <w:pPr>
              <w:pStyle w:val="TableParagraph"/>
              <w:spacing w:before="35"/>
              <w:ind w:left="4"/>
              <w:rPr>
                <w:b/>
                <w:sz w:val="14"/>
              </w:rPr>
            </w:pPr>
            <w:r>
              <w:rPr>
                <w:b/>
                <w:spacing w:val="-5"/>
                <w:sz w:val="14"/>
              </w:rPr>
              <w:t>Obs</w:t>
            </w:r>
          </w:p>
        </w:tc>
        <w:tc>
          <w:tcPr>
            <w:tcW w:w="1094" w:type="dxa"/>
            <w:shd w:val="clear" w:color="auto" w:fill="E7E7E7"/>
          </w:tcPr>
          <w:p>
            <w:pPr>
              <w:pStyle w:val="TableParagraph"/>
              <w:spacing w:before="35"/>
              <w:ind w:left="16" w:right="11"/>
              <w:rPr>
                <w:b/>
                <w:sz w:val="14"/>
              </w:rPr>
            </w:pPr>
            <w:r>
              <w:rPr>
                <w:b/>
                <w:spacing w:val="-4"/>
                <w:sz w:val="14"/>
              </w:rPr>
              <w:t>Mean</w:t>
            </w:r>
          </w:p>
        </w:tc>
        <w:tc>
          <w:tcPr>
            <w:tcW w:w="1094" w:type="dxa"/>
            <w:shd w:val="clear" w:color="auto" w:fill="E7E7E7"/>
          </w:tcPr>
          <w:p>
            <w:pPr>
              <w:pStyle w:val="TableParagraph"/>
              <w:spacing w:before="35"/>
              <w:ind w:left="16" w:right="13"/>
              <w:rPr>
                <w:b/>
                <w:sz w:val="14"/>
              </w:rPr>
            </w:pPr>
            <w:r>
              <w:rPr>
                <w:b/>
                <w:sz w:val="14"/>
              </w:rPr>
              <w:t>Std</w:t>
            </w:r>
            <w:r>
              <w:rPr>
                <w:b/>
                <w:spacing w:val="-5"/>
                <w:sz w:val="14"/>
              </w:rPr>
              <w:t> Dev</w:t>
            </w:r>
          </w:p>
        </w:tc>
        <w:tc>
          <w:tcPr>
            <w:tcW w:w="1091" w:type="dxa"/>
            <w:shd w:val="clear" w:color="auto" w:fill="E7E7E7"/>
          </w:tcPr>
          <w:p>
            <w:pPr>
              <w:pStyle w:val="TableParagraph"/>
              <w:spacing w:before="35"/>
              <w:ind w:left="9"/>
              <w:rPr>
                <w:b/>
                <w:sz w:val="14"/>
              </w:rPr>
            </w:pPr>
            <w:r>
              <w:rPr>
                <w:b/>
                <w:spacing w:val="-4"/>
                <w:sz w:val="14"/>
              </w:rPr>
              <w:t>Min.</w:t>
            </w:r>
          </w:p>
        </w:tc>
        <w:tc>
          <w:tcPr>
            <w:tcW w:w="1094" w:type="dxa"/>
            <w:shd w:val="clear" w:color="auto" w:fill="E7E7E7"/>
          </w:tcPr>
          <w:p>
            <w:pPr>
              <w:pStyle w:val="TableParagraph"/>
              <w:spacing w:before="35"/>
              <w:ind w:left="16" w:right="3"/>
              <w:rPr>
                <w:b/>
                <w:sz w:val="14"/>
              </w:rPr>
            </w:pPr>
            <w:r>
              <w:rPr>
                <w:b/>
                <w:spacing w:val="-4"/>
                <w:sz w:val="14"/>
              </w:rPr>
              <w:t>Max.</w:t>
            </w:r>
          </w:p>
        </w:tc>
        <w:tc>
          <w:tcPr>
            <w:tcW w:w="1093" w:type="dxa"/>
            <w:shd w:val="clear" w:color="auto" w:fill="E7E7E7"/>
          </w:tcPr>
          <w:p>
            <w:pPr>
              <w:pStyle w:val="TableParagraph"/>
              <w:spacing w:before="35"/>
              <w:ind w:left="17" w:right="5"/>
              <w:rPr>
                <w:b/>
                <w:sz w:val="14"/>
              </w:rPr>
            </w:pPr>
            <w:r>
              <w:rPr>
                <w:b/>
                <w:spacing w:val="-4"/>
                <w:sz w:val="14"/>
              </w:rPr>
              <w:t>Skew</w:t>
            </w:r>
          </w:p>
        </w:tc>
        <w:tc>
          <w:tcPr>
            <w:tcW w:w="1093" w:type="dxa"/>
            <w:shd w:val="clear" w:color="auto" w:fill="E7E7E7"/>
          </w:tcPr>
          <w:p>
            <w:pPr>
              <w:pStyle w:val="TableParagraph"/>
              <w:spacing w:before="35"/>
              <w:ind w:left="17" w:right="6"/>
              <w:rPr>
                <w:b/>
                <w:sz w:val="14"/>
              </w:rPr>
            </w:pPr>
            <w:r>
              <w:rPr>
                <w:b/>
                <w:spacing w:val="-2"/>
                <w:sz w:val="14"/>
              </w:rPr>
              <w:t>Kurt.</w:t>
            </w:r>
          </w:p>
        </w:tc>
      </w:tr>
      <w:tr>
        <w:trPr>
          <w:trHeight w:val="232" w:hRule="atLeast"/>
        </w:trPr>
        <w:tc>
          <w:tcPr>
            <w:tcW w:w="1987" w:type="dxa"/>
          </w:tcPr>
          <w:p>
            <w:pPr>
              <w:pStyle w:val="TableParagraph"/>
              <w:ind w:left="33"/>
              <w:jc w:val="left"/>
              <w:rPr>
                <w:sz w:val="14"/>
              </w:rPr>
            </w:pPr>
            <w:r>
              <w:rPr>
                <w:sz w:val="14"/>
              </w:rPr>
              <w:t>Share</w:t>
            </w:r>
            <w:r>
              <w:rPr>
                <w:spacing w:val="-5"/>
                <w:sz w:val="14"/>
              </w:rPr>
              <w:t> </w:t>
            </w:r>
            <w:r>
              <w:rPr>
                <w:sz w:val="14"/>
              </w:rPr>
              <w:t>Price</w:t>
            </w:r>
            <w:r>
              <w:rPr>
                <w:spacing w:val="-4"/>
                <w:sz w:val="14"/>
              </w:rPr>
              <w:t> (SP)</w:t>
            </w:r>
          </w:p>
        </w:tc>
        <w:tc>
          <w:tcPr>
            <w:tcW w:w="1095" w:type="dxa"/>
          </w:tcPr>
          <w:p>
            <w:pPr>
              <w:pStyle w:val="TableParagraph"/>
              <w:ind w:left="4" w:right="1"/>
              <w:rPr>
                <w:sz w:val="14"/>
              </w:rPr>
            </w:pPr>
            <w:r>
              <w:rPr>
                <w:spacing w:val="-5"/>
                <w:sz w:val="14"/>
              </w:rPr>
              <w:t>160</w:t>
            </w:r>
          </w:p>
        </w:tc>
        <w:tc>
          <w:tcPr>
            <w:tcW w:w="1094" w:type="dxa"/>
          </w:tcPr>
          <w:p>
            <w:pPr>
              <w:pStyle w:val="TableParagraph"/>
              <w:ind w:left="16" w:right="14"/>
              <w:rPr>
                <w:sz w:val="14"/>
              </w:rPr>
            </w:pPr>
            <w:r>
              <w:rPr>
                <w:spacing w:val="-2"/>
                <w:sz w:val="14"/>
              </w:rPr>
              <w:t>103.488</w:t>
            </w:r>
          </w:p>
        </w:tc>
        <w:tc>
          <w:tcPr>
            <w:tcW w:w="1094" w:type="dxa"/>
          </w:tcPr>
          <w:p>
            <w:pPr>
              <w:pStyle w:val="TableParagraph"/>
              <w:ind w:left="16" w:right="13"/>
              <w:rPr>
                <w:sz w:val="14"/>
              </w:rPr>
            </w:pPr>
            <w:r>
              <w:rPr>
                <w:spacing w:val="-2"/>
                <w:sz w:val="14"/>
              </w:rPr>
              <w:t>308.885</w:t>
            </w:r>
          </w:p>
        </w:tc>
        <w:tc>
          <w:tcPr>
            <w:tcW w:w="1091" w:type="dxa"/>
          </w:tcPr>
          <w:p>
            <w:pPr>
              <w:pStyle w:val="TableParagraph"/>
              <w:ind w:left="10"/>
              <w:rPr>
                <w:sz w:val="14"/>
              </w:rPr>
            </w:pPr>
            <w:r>
              <w:rPr>
                <w:spacing w:val="-4"/>
                <w:sz w:val="14"/>
              </w:rPr>
              <w:t>0.21</w:t>
            </w:r>
          </w:p>
        </w:tc>
        <w:tc>
          <w:tcPr>
            <w:tcW w:w="1094" w:type="dxa"/>
          </w:tcPr>
          <w:p>
            <w:pPr>
              <w:pStyle w:val="TableParagraph"/>
              <w:ind w:left="16" w:right="2"/>
              <w:rPr>
                <w:sz w:val="14"/>
              </w:rPr>
            </w:pPr>
            <w:r>
              <w:rPr>
                <w:spacing w:val="-4"/>
                <w:sz w:val="14"/>
              </w:rPr>
              <w:t>1556</w:t>
            </w:r>
          </w:p>
        </w:tc>
        <w:tc>
          <w:tcPr>
            <w:tcW w:w="1093" w:type="dxa"/>
          </w:tcPr>
          <w:p>
            <w:pPr>
              <w:pStyle w:val="TableParagraph"/>
              <w:ind w:left="17" w:right="5"/>
              <w:rPr>
                <w:sz w:val="14"/>
              </w:rPr>
            </w:pPr>
            <w:r>
              <w:rPr>
                <w:spacing w:val="-4"/>
                <w:sz w:val="14"/>
              </w:rPr>
              <w:t>3.81</w:t>
            </w:r>
          </w:p>
        </w:tc>
        <w:tc>
          <w:tcPr>
            <w:tcW w:w="1093" w:type="dxa"/>
          </w:tcPr>
          <w:p>
            <w:pPr>
              <w:pStyle w:val="TableParagraph"/>
              <w:ind w:left="17" w:right="2"/>
              <w:rPr>
                <w:sz w:val="14"/>
              </w:rPr>
            </w:pPr>
            <w:r>
              <w:rPr>
                <w:spacing w:val="-2"/>
                <w:sz w:val="14"/>
              </w:rPr>
              <w:t>16.371</w:t>
            </w:r>
          </w:p>
        </w:tc>
      </w:tr>
      <w:tr>
        <w:trPr>
          <w:trHeight w:val="230" w:hRule="atLeast"/>
        </w:trPr>
        <w:tc>
          <w:tcPr>
            <w:tcW w:w="1987" w:type="dxa"/>
          </w:tcPr>
          <w:p>
            <w:pPr>
              <w:pStyle w:val="TableParagraph"/>
              <w:ind w:left="33"/>
              <w:jc w:val="left"/>
              <w:rPr>
                <w:sz w:val="14"/>
              </w:rPr>
            </w:pPr>
            <w:r>
              <w:rPr>
                <w:sz w:val="14"/>
              </w:rPr>
              <w:t>Earnings</w:t>
            </w:r>
            <w:r>
              <w:rPr>
                <w:spacing w:val="-5"/>
                <w:sz w:val="14"/>
              </w:rPr>
              <w:t> </w:t>
            </w:r>
            <w:r>
              <w:rPr>
                <w:sz w:val="14"/>
              </w:rPr>
              <w:t>per</w:t>
            </w:r>
            <w:r>
              <w:rPr>
                <w:spacing w:val="-5"/>
                <w:sz w:val="14"/>
              </w:rPr>
              <w:t> </w:t>
            </w:r>
            <w:r>
              <w:rPr>
                <w:sz w:val="14"/>
              </w:rPr>
              <w:t>Share</w:t>
            </w:r>
            <w:r>
              <w:rPr>
                <w:spacing w:val="-4"/>
                <w:sz w:val="14"/>
              </w:rPr>
              <w:t> </w:t>
            </w:r>
            <w:r>
              <w:rPr>
                <w:spacing w:val="-2"/>
                <w:sz w:val="14"/>
              </w:rPr>
              <w:t>(EPS)</w:t>
            </w:r>
          </w:p>
        </w:tc>
        <w:tc>
          <w:tcPr>
            <w:tcW w:w="1095" w:type="dxa"/>
          </w:tcPr>
          <w:p>
            <w:pPr>
              <w:pStyle w:val="TableParagraph"/>
              <w:ind w:left="4" w:right="1"/>
              <w:rPr>
                <w:sz w:val="14"/>
              </w:rPr>
            </w:pPr>
            <w:r>
              <w:rPr>
                <w:spacing w:val="-5"/>
                <w:sz w:val="14"/>
              </w:rPr>
              <w:t>160</w:t>
            </w:r>
          </w:p>
        </w:tc>
        <w:tc>
          <w:tcPr>
            <w:tcW w:w="1094" w:type="dxa"/>
          </w:tcPr>
          <w:p>
            <w:pPr>
              <w:pStyle w:val="TableParagraph"/>
              <w:ind w:left="16" w:right="11"/>
              <w:rPr>
                <w:sz w:val="14"/>
              </w:rPr>
            </w:pPr>
            <w:r>
              <w:rPr>
                <w:spacing w:val="-2"/>
                <w:sz w:val="14"/>
              </w:rPr>
              <w:t>471.09</w:t>
            </w:r>
          </w:p>
        </w:tc>
        <w:tc>
          <w:tcPr>
            <w:tcW w:w="1094" w:type="dxa"/>
          </w:tcPr>
          <w:p>
            <w:pPr>
              <w:pStyle w:val="TableParagraph"/>
              <w:ind w:left="16" w:right="13"/>
              <w:rPr>
                <w:sz w:val="14"/>
              </w:rPr>
            </w:pPr>
            <w:r>
              <w:rPr>
                <w:spacing w:val="-2"/>
                <w:sz w:val="14"/>
              </w:rPr>
              <w:t>1325.55</w:t>
            </w:r>
          </w:p>
        </w:tc>
        <w:tc>
          <w:tcPr>
            <w:tcW w:w="1091" w:type="dxa"/>
          </w:tcPr>
          <w:p>
            <w:pPr>
              <w:pStyle w:val="TableParagraph"/>
              <w:ind w:left="8"/>
              <w:rPr>
                <w:sz w:val="14"/>
              </w:rPr>
            </w:pPr>
            <w:r>
              <w:rPr>
                <w:spacing w:val="-2"/>
                <w:sz w:val="14"/>
              </w:rPr>
              <w:t>-</w:t>
            </w:r>
            <w:r>
              <w:rPr>
                <w:spacing w:val="-4"/>
                <w:sz w:val="14"/>
              </w:rPr>
              <w:t>3813</w:t>
            </w:r>
          </w:p>
        </w:tc>
        <w:tc>
          <w:tcPr>
            <w:tcW w:w="1094" w:type="dxa"/>
          </w:tcPr>
          <w:p>
            <w:pPr>
              <w:pStyle w:val="TableParagraph"/>
              <w:ind w:left="16" w:right="2"/>
              <w:rPr>
                <w:sz w:val="14"/>
              </w:rPr>
            </w:pPr>
            <w:r>
              <w:rPr>
                <w:spacing w:val="-4"/>
                <w:sz w:val="14"/>
              </w:rPr>
              <w:t>6177</w:t>
            </w:r>
          </w:p>
        </w:tc>
        <w:tc>
          <w:tcPr>
            <w:tcW w:w="1093" w:type="dxa"/>
          </w:tcPr>
          <w:p>
            <w:pPr>
              <w:pStyle w:val="TableParagraph"/>
              <w:ind w:left="17" w:right="2"/>
              <w:rPr>
                <w:sz w:val="14"/>
              </w:rPr>
            </w:pPr>
            <w:r>
              <w:rPr>
                <w:spacing w:val="-2"/>
                <w:sz w:val="14"/>
              </w:rPr>
              <w:t>2.656</w:t>
            </w:r>
          </w:p>
        </w:tc>
        <w:tc>
          <w:tcPr>
            <w:tcW w:w="1093" w:type="dxa"/>
          </w:tcPr>
          <w:p>
            <w:pPr>
              <w:pStyle w:val="TableParagraph"/>
              <w:ind w:left="17" w:right="2"/>
              <w:rPr>
                <w:sz w:val="14"/>
              </w:rPr>
            </w:pPr>
            <w:r>
              <w:rPr>
                <w:spacing w:val="-2"/>
                <w:sz w:val="14"/>
              </w:rPr>
              <w:t>11.331</w:t>
            </w:r>
          </w:p>
        </w:tc>
      </w:tr>
      <w:tr>
        <w:trPr>
          <w:trHeight w:val="232" w:hRule="atLeast"/>
        </w:trPr>
        <w:tc>
          <w:tcPr>
            <w:tcW w:w="1987" w:type="dxa"/>
          </w:tcPr>
          <w:p>
            <w:pPr>
              <w:pStyle w:val="TableParagraph"/>
              <w:ind w:left="33"/>
              <w:jc w:val="left"/>
              <w:rPr>
                <w:sz w:val="14"/>
              </w:rPr>
            </w:pPr>
            <w:r>
              <w:rPr>
                <w:sz w:val="14"/>
              </w:rPr>
              <w:t>Book</w:t>
            </w:r>
            <w:r>
              <w:rPr>
                <w:spacing w:val="-4"/>
                <w:sz w:val="14"/>
              </w:rPr>
              <w:t> </w:t>
            </w:r>
            <w:r>
              <w:rPr>
                <w:sz w:val="14"/>
              </w:rPr>
              <w:t>Value</w:t>
            </w:r>
            <w:r>
              <w:rPr>
                <w:spacing w:val="-2"/>
                <w:sz w:val="14"/>
              </w:rPr>
              <w:t> </w:t>
            </w:r>
            <w:r>
              <w:rPr>
                <w:sz w:val="14"/>
              </w:rPr>
              <w:t>per</w:t>
            </w:r>
            <w:r>
              <w:rPr>
                <w:spacing w:val="-3"/>
                <w:sz w:val="14"/>
              </w:rPr>
              <w:t> </w:t>
            </w:r>
            <w:r>
              <w:rPr>
                <w:sz w:val="14"/>
              </w:rPr>
              <w:t>Share</w:t>
            </w:r>
            <w:r>
              <w:rPr>
                <w:spacing w:val="-3"/>
                <w:sz w:val="14"/>
              </w:rPr>
              <w:t> </w:t>
            </w:r>
            <w:r>
              <w:rPr>
                <w:spacing w:val="-2"/>
                <w:sz w:val="14"/>
              </w:rPr>
              <w:t>(BVPS)</w:t>
            </w:r>
          </w:p>
        </w:tc>
        <w:tc>
          <w:tcPr>
            <w:tcW w:w="1095" w:type="dxa"/>
          </w:tcPr>
          <w:p>
            <w:pPr>
              <w:pStyle w:val="TableParagraph"/>
              <w:ind w:left="4" w:right="1"/>
              <w:rPr>
                <w:sz w:val="14"/>
              </w:rPr>
            </w:pPr>
            <w:r>
              <w:rPr>
                <w:spacing w:val="-5"/>
                <w:sz w:val="14"/>
              </w:rPr>
              <w:t>160</w:t>
            </w:r>
          </w:p>
        </w:tc>
        <w:tc>
          <w:tcPr>
            <w:tcW w:w="1094" w:type="dxa"/>
          </w:tcPr>
          <w:p>
            <w:pPr>
              <w:pStyle w:val="TableParagraph"/>
              <w:ind w:left="16" w:right="11"/>
              <w:rPr>
                <w:sz w:val="14"/>
              </w:rPr>
            </w:pPr>
            <w:r>
              <w:rPr>
                <w:spacing w:val="-2"/>
                <w:sz w:val="14"/>
              </w:rPr>
              <w:t>24.881</w:t>
            </w:r>
          </w:p>
        </w:tc>
        <w:tc>
          <w:tcPr>
            <w:tcW w:w="1094" w:type="dxa"/>
          </w:tcPr>
          <w:p>
            <w:pPr>
              <w:pStyle w:val="TableParagraph"/>
              <w:ind w:left="16" w:right="10"/>
              <w:rPr>
                <w:sz w:val="14"/>
              </w:rPr>
            </w:pPr>
            <w:r>
              <w:rPr>
                <w:spacing w:val="-2"/>
                <w:sz w:val="14"/>
              </w:rPr>
              <w:t>28.679</w:t>
            </w:r>
          </w:p>
        </w:tc>
        <w:tc>
          <w:tcPr>
            <w:tcW w:w="1091" w:type="dxa"/>
          </w:tcPr>
          <w:p>
            <w:pPr>
              <w:pStyle w:val="TableParagraph"/>
              <w:ind w:left="8"/>
              <w:rPr>
                <w:sz w:val="14"/>
              </w:rPr>
            </w:pPr>
            <w:r>
              <w:rPr>
                <w:spacing w:val="-2"/>
                <w:sz w:val="14"/>
              </w:rPr>
              <w:t>-18.971</w:t>
            </w:r>
          </w:p>
        </w:tc>
        <w:tc>
          <w:tcPr>
            <w:tcW w:w="1094" w:type="dxa"/>
          </w:tcPr>
          <w:p>
            <w:pPr>
              <w:pStyle w:val="TableParagraph"/>
              <w:ind w:left="16" w:right="4"/>
              <w:rPr>
                <w:sz w:val="14"/>
              </w:rPr>
            </w:pPr>
            <w:r>
              <w:rPr>
                <w:spacing w:val="-2"/>
                <w:sz w:val="14"/>
              </w:rPr>
              <w:t>126.714</w:t>
            </w:r>
          </w:p>
        </w:tc>
        <w:tc>
          <w:tcPr>
            <w:tcW w:w="1093" w:type="dxa"/>
          </w:tcPr>
          <w:p>
            <w:pPr>
              <w:pStyle w:val="TableParagraph"/>
              <w:ind w:left="17" w:right="2"/>
              <w:rPr>
                <w:sz w:val="14"/>
              </w:rPr>
            </w:pPr>
            <w:r>
              <w:rPr>
                <w:spacing w:val="-2"/>
                <w:sz w:val="14"/>
              </w:rPr>
              <w:t>1.439</w:t>
            </w:r>
          </w:p>
        </w:tc>
        <w:tc>
          <w:tcPr>
            <w:tcW w:w="1093" w:type="dxa"/>
          </w:tcPr>
          <w:p>
            <w:pPr>
              <w:pStyle w:val="TableParagraph"/>
              <w:ind w:left="17"/>
              <w:rPr>
                <w:sz w:val="14"/>
              </w:rPr>
            </w:pPr>
            <w:r>
              <w:rPr>
                <w:spacing w:val="-2"/>
                <w:sz w:val="14"/>
              </w:rPr>
              <w:t>4.375</w:t>
            </w:r>
          </w:p>
        </w:tc>
      </w:tr>
      <w:tr>
        <w:trPr>
          <w:trHeight w:val="230" w:hRule="atLeast"/>
        </w:trPr>
        <w:tc>
          <w:tcPr>
            <w:tcW w:w="1987" w:type="dxa"/>
          </w:tcPr>
          <w:p>
            <w:pPr>
              <w:pStyle w:val="TableParagraph"/>
              <w:spacing w:before="32"/>
              <w:ind w:left="33"/>
              <w:jc w:val="left"/>
              <w:rPr>
                <w:sz w:val="14"/>
              </w:rPr>
            </w:pPr>
            <w:r>
              <w:rPr>
                <w:sz w:val="14"/>
              </w:rPr>
              <w:t>Free</w:t>
            </w:r>
            <w:r>
              <w:rPr>
                <w:spacing w:val="-4"/>
                <w:sz w:val="14"/>
              </w:rPr>
              <w:t> </w:t>
            </w:r>
            <w:r>
              <w:rPr>
                <w:sz w:val="14"/>
              </w:rPr>
              <w:t>Cash</w:t>
            </w:r>
            <w:r>
              <w:rPr>
                <w:spacing w:val="-4"/>
                <w:sz w:val="14"/>
              </w:rPr>
              <w:t> </w:t>
            </w:r>
            <w:r>
              <w:rPr>
                <w:sz w:val="14"/>
              </w:rPr>
              <w:t>Flow</w:t>
            </w:r>
            <w:r>
              <w:rPr>
                <w:spacing w:val="-5"/>
                <w:sz w:val="14"/>
              </w:rPr>
              <w:t> </w:t>
            </w:r>
            <w:r>
              <w:rPr>
                <w:spacing w:val="-2"/>
                <w:sz w:val="14"/>
              </w:rPr>
              <w:t>(FCF)</w:t>
            </w:r>
          </w:p>
        </w:tc>
        <w:tc>
          <w:tcPr>
            <w:tcW w:w="1095" w:type="dxa"/>
          </w:tcPr>
          <w:p>
            <w:pPr>
              <w:pStyle w:val="TableParagraph"/>
              <w:spacing w:before="32"/>
              <w:ind w:left="4" w:right="1"/>
              <w:rPr>
                <w:sz w:val="14"/>
              </w:rPr>
            </w:pPr>
            <w:r>
              <w:rPr>
                <w:spacing w:val="-5"/>
                <w:sz w:val="14"/>
              </w:rPr>
              <w:t>160</w:t>
            </w:r>
          </w:p>
        </w:tc>
        <w:tc>
          <w:tcPr>
            <w:tcW w:w="1094" w:type="dxa"/>
          </w:tcPr>
          <w:p>
            <w:pPr>
              <w:pStyle w:val="TableParagraph"/>
              <w:spacing w:before="32"/>
              <w:ind w:left="16" w:right="9"/>
              <w:rPr>
                <w:sz w:val="14"/>
              </w:rPr>
            </w:pPr>
            <w:r>
              <w:rPr>
                <w:spacing w:val="-2"/>
                <w:sz w:val="14"/>
              </w:rPr>
              <w:t>0.122</w:t>
            </w:r>
          </w:p>
        </w:tc>
        <w:tc>
          <w:tcPr>
            <w:tcW w:w="1094" w:type="dxa"/>
          </w:tcPr>
          <w:p>
            <w:pPr>
              <w:pStyle w:val="TableParagraph"/>
              <w:spacing w:before="32"/>
              <w:ind w:left="16" w:right="8"/>
              <w:rPr>
                <w:sz w:val="14"/>
              </w:rPr>
            </w:pPr>
            <w:r>
              <w:rPr>
                <w:spacing w:val="-2"/>
                <w:sz w:val="14"/>
              </w:rPr>
              <w:t>0.148</w:t>
            </w:r>
          </w:p>
        </w:tc>
        <w:tc>
          <w:tcPr>
            <w:tcW w:w="1091" w:type="dxa"/>
          </w:tcPr>
          <w:p>
            <w:pPr>
              <w:pStyle w:val="TableParagraph"/>
              <w:spacing w:before="32"/>
              <w:ind w:left="10"/>
              <w:rPr>
                <w:sz w:val="14"/>
              </w:rPr>
            </w:pPr>
            <w:r>
              <w:rPr>
                <w:spacing w:val="-2"/>
                <w:sz w:val="14"/>
              </w:rPr>
              <w:t>-0.329</w:t>
            </w:r>
          </w:p>
        </w:tc>
        <w:tc>
          <w:tcPr>
            <w:tcW w:w="1094" w:type="dxa"/>
          </w:tcPr>
          <w:p>
            <w:pPr>
              <w:pStyle w:val="TableParagraph"/>
              <w:spacing w:before="32"/>
              <w:ind w:left="16"/>
              <w:rPr>
                <w:sz w:val="14"/>
              </w:rPr>
            </w:pPr>
            <w:r>
              <w:rPr>
                <w:spacing w:val="-2"/>
                <w:sz w:val="14"/>
              </w:rPr>
              <w:t>0.613</w:t>
            </w:r>
          </w:p>
        </w:tc>
        <w:tc>
          <w:tcPr>
            <w:tcW w:w="1093" w:type="dxa"/>
          </w:tcPr>
          <w:p>
            <w:pPr>
              <w:pStyle w:val="TableParagraph"/>
              <w:spacing w:before="32"/>
              <w:ind w:left="17" w:right="2"/>
              <w:rPr>
                <w:sz w:val="14"/>
              </w:rPr>
            </w:pPr>
            <w:r>
              <w:rPr>
                <w:spacing w:val="-2"/>
                <w:sz w:val="14"/>
              </w:rPr>
              <w:t>0.234</w:t>
            </w:r>
          </w:p>
        </w:tc>
        <w:tc>
          <w:tcPr>
            <w:tcW w:w="1093" w:type="dxa"/>
          </w:tcPr>
          <w:p>
            <w:pPr>
              <w:pStyle w:val="TableParagraph"/>
              <w:spacing w:before="32"/>
              <w:ind w:left="17"/>
              <w:rPr>
                <w:sz w:val="14"/>
              </w:rPr>
            </w:pPr>
            <w:r>
              <w:rPr>
                <w:spacing w:val="-2"/>
                <w:sz w:val="14"/>
              </w:rPr>
              <w:t>4.234</w:t>
            </w:r>
          </w:p>
        </w:tc>
      </w:tr>
      <w:tr>
        <w:trPr>
          <w:trHeight w:val="230" w:hRule="atLeast"/>
        </w:trPr>
        <w:tc>
          <w:tcPr>
            <w:tcW w:w="1987" w:type="dxa"/>
          </w:tcPr>
          <w:p>
            <w:pPr>
              <w:pStyle w:val="TableParagraph"/>
              <w:ind w:left="33"/>
              <w:jc w:val="left"/>
              <w:rPr>
                <w:sz w:val="14"/>
              </w:rPr>
            </w:pPr>
            <w:r>
              <w:rPr>
                <w:sz w:val="14"/>
              </w:rPr>
              <w:t>Capital</w:t>
            </w:r>
            <w:r>
              <w:rPr>
                <w:spacing w:val="-7"/>
                <w:sz w:val="14"/>
              </w:rPr>
              <w:t> </w:t>
            </w:r>
            <w:r>
              <w:rPr>
                <w:sz w:val="14"/>
              </w:rPr>
              <w:t>Expenditure</w:t>
            </w:r>
            <w:r>
              <w:rPr>
                <w:spacing w:val="-5"/>
                <w:sz w:val="14"/>
              </w:rPr>
              <w:t> </w:t>
            </w:r>
            <w:r>
              <w:rPr>
                <w:sz w:val="14"/>
              </w:rPr>
              <w:t>Ratio</w:t>
            </w:r>
            <w:r>
              <w:rPr>
                <w:spacing w:val="-6"/>
                <w:sz w:val="14"/>
              </w:rPr>
              <w:t> </w:t>
            </w:r>
            <w:r>
              <w:rPr>
                <w:spacing w:val="-4"/>
                <w:sz w:val="14"/>
              </w:rPr>
              <w:t>(CER)</w:t>
            </w:r>
          </w:p>
        </w:tc>
        <w:tc>
          <w:tcPr>
            <w:tcW w:w="1095" w:type="dxa"/>
          </w:tcPr>
          <w:p>
            <w:pPr>
              <w:pStyle w:val="TableParagraph"/>
              <w:ind w:left="4" w:right="1"/>
              <w:rPr>
                <w:sz w:val="14"/>
              </w:rPr>
            </w:pPr>
            <w:r>
              <w:rPr>
                <w:spacing w:val="-5"/>
                <w:sz w:val="14"/>
              </w:rPr>
              <w:t>160</w:t>
            </w:r>
          </w:p>
        </w:tc>
        <w:tc>
          <w:tcPr>
            <w:tcW w:w="1094" w:type="dxa"/>
          </w:tcPr>
          <w:p>
            <w:pPr>
              <w:pStyle w:val="TableParagraph"/>
              <w:ind w:left="16" w:right="9"/>
              <w:rPr>
                <w:sz w:val="14"/>
              </w:rPr>
            </w:pPr>
            <w:r>
              <w:rPr>
                <w:spacing w:val="-2"/>
                <w:sz w:val="14"/>
              </w:rPr>
              <w:t>0.014</w:t>
            </w:r>
          </w:p>
        </w:tc>
        <w:tc>
          <w:tcPr>
            <w:tcW w:w="1094" w:type="dxa"/>
          </w:tcPr>
          <w:p>
            <w:pPr>
              <w:pStyle w:val="TableParagraph"/>
              <w:ind w:left="16" w:right="8"/>
              <w:rPr>
                <w:sz w:val="14"/>
              </w:rPr>
            </w:pPr>
            <w:r>
              <w:rPr>
                <w:spacing w:val="-2"/>
                <w:sz w:val="14"/>
              </w:rPr>
              <w:t>2.143</w:t>
            </w:r>
          </w:p>
        </w:tc>
        <w:tc>
          <w:tcPr>
            <w:tcW w:w="1091" w:type="dxa"/>
          </w:tcPr>
          <w:p>
            <w:pPr>
              <w:pStyle w:val="TableParagraph"/>
              <w:ind w:left="13"/>
              <w:rPr>
                <w:sz w:val="14"/>
              </w:rPr>
            </w:pPr>
            <w:r>
              <w:rPr>
                <w:spacing w:val="-2"/>
                <w:sz w:val="14"/>
              </w:rPr>
              <w:t>6.843</w:t>
            </w:r>
          </w:p>
        </w:tc>
        <w:tc>
          <w:tcPr>
            <w:tcW w:w="1094" w:type="dxa"/>
          </w:tcPr>
          <w:p>
            <w:pPr>
              <w:pStyle w:val="TableParagraph"/>
              <w:ind w:left="16" w:right="2"/>
              <w:rPr>
                <w:sz w:val="14"/>
              </w:rPr>
            </w:pPr>
            <w:r>
              <w:rPr>
                <w:spacing w:val="-2"/>
                <w:sz w:val="14"/>
              </w:rPr>
              <w:t>17.075</w:t>
            </w:r>
          </w:p>
        </w:tc>
        <w:tc>
          <w:tcPr>
            <w:tcW w:w="1093" w:type="dxa"/>
          </w:tcPr>
          <w:p>
            <w:pPr>
              <w:pStyle w:val="TableParagraph"/>
              <w:ind w:left="17" w:right="5"/>
              <w:rPr>
                <w:sz w:val="14"/>
              </w:rPr>
            </w:pPr>
            <w:r>
              <w:rPr>
                <w:spacing w:val="-2"/>
                <w:sz w:val="14"/>
              </w:rPr>
              <w:t>-5.492</w:t>
            </w:r>
          </w:p>
        </w:tc>
        <w:tc>
          <w:tcPr>
            <w:tcW w:w="1093" w:type="dxa"/>
          </w:tcPr>
          <w:p>
            <w:pPr>
              <w:pStyle w:val="TableParagraph"/>
              <w:ind w:left="17" w:right="2"/>
              <w:rPr>
                <w:sz w:val="14"/>
              </w:rPr>
            </w:pPr>
            <w:r>
              <w:rPr>
                <w:spacing w:val="-2"/>
                <w:sz w:val="14"/>
              </w:rPr>
              <w:t>42.703</w:t>
            </w:r>
          </w:p>
        </w:tc>
      </w:tr>
      <w:tr>
        <w:trPr>
          <w:trHeight w:val="232" w:hRule="atLeast"/>
        </w:trPr>
        <w:tc>
          <w:tcPr>
            <w:tcW w:w="1987" w:type="dxa"/>
          </w:tcPr>
          <w:p>
            <w:pPr>
              <w:pStyle w:val="TableParagraph"/>
              <w:ind w:left="33"/>
              <w:jc w:val="left"/>
              <w:rPr>
                <w:sz w:val="14"/>
              </w:rPr>
            </w:pPr>
            <w:r>
              <w:rPr>
                <w:sz w:val="14"/>
              </w:rPr>
              <w:t>Operating</w:t>
            </w:r>
            <w:r>
              <w:rPr>
                <w:spacing w:val="-4"/>
                <w:sz w:val="14"/>
              </w:rPr>
              <w:t> </w:t>
            </w:r>
            <w:r>
              <w:rPr>
                <w:sz w:val="14"/>
              </w:rPr>
              <w:t>C.</w:t>
            </w:r>
            <w:r>
              <w:rPr>
                <w:spacing w:val="-2"/>
                <w:sz w:val="14"/>
              </w:rPr>
              <w:t> </w:t>
            </w:r>
            <w:r>
              <w:rPr>
                <w:sz w:val="14"/>
              </w:rPr>
              <w:t>F.</w:t>
            </w:r>
            <w:r>
              <w:rPr>
                <w:spacing w:val="-2"/>
                <w:sz w:val="14"/>
              </w:rPr>
              <w:t> </w:t>
            </w:r>
            <w:r>
              <w:rPr>
                <w:sz w:val="14"/>
              </w:rPr>
              <w:t>Ratio</w:t>
            </w:r>
            <w:r>
              <w:rPr>
                <w:spacing w:val="-4"/>
                <w:sz w:val="14"/>
              </w:rPr>
              <w:t> </w:t>
            </w:r>
            <w:r>
              <w:rPr>
                <w:spacing w:val="-2"/>
                <w:sz w:val="14"/>
              </w:rPr>
              <w:t>(OCFR)</w:t>
            </w:r>
          </w:p>
        </w:tc>
        <w:tc>
          <w:tcPr>
            <w:tcW w:w="1095" w:type="dxa"/>
          </w:tcPr>
          <w:p>
            <w:pPr>
              <w:pStyle w:val="TableParagraph"/>
              <w:ind w:left="4" w:right="1"/>
              <w:rPr>
                <w:sz w:val="14"/>
              </w:rPr>
            </w:pPr>
            <w:r>
              <w:rPr>
                <w:spacing w:val="-5"/>
                <w:sz w:val="14"/>
              </w:rPr>
              <w:t>160</w:t>
            </w:r>
          </w:p>
        </w:tc>
        <w:tc>
          <w:tcPr>
            <w:tcW w:w="1094" w:type="dxa"/>
          </w:tcPr>
          <w:p>
            <w:pPr>
              <w:pStyle w:val="TableParagraph"/>
              <w:ind w:left="16" w:right="9"/>
              <w:rPr>
                <w:sz w:val="14"/>
              </w:rPr>
            </w:pPr>
            <w:r>
              <w:rPr>
                <w:spacing w:val="-2"/>
                <w:sz w:val="14"/>
              </w:rPr>
              <w:t>0.245</w:t>
            </w:r>
          </w:p>
        </w:tc>
        <w:tc>
          <w:tcPr>
            <w:tcW w:w="1094" w:type="dxa"/>
          </w:tcPr>
          <w:p>
            <w:pPr>
              <w:pStyle w:val="TableParagraph"/>
              <w:ind w:left="16" w:right="8"/>
              <w:rPr>
                <w:sz w:val="14"/>
              </w:rPr>
            </w:pPr>
            <w:r>
              <w:rPr>
                <w:spacing w:val="-2"/>
                <w:sz w:val="14"/>
              </w:rPr>
              <w:t>0.296</w:t>
            </w:r>
          </w:p>
        </w:tc>
        <w:tc>
          <w:tcPr>
            <w:tcW w:w="1091" w:type="dxa"/>
          </w:tcPr>
          <w:p>
            <w:pPr>
              <w:pStyle w:val="TableParagraph"/>
              <w:ind w:left="10"/>
              <w:rPr>
                <w:sz w:val="14"/>
              </w:rPr>
            </w:pPr>
            <w:r>
              <w:rPr>
                <w:spacing w:val="-2"/>
                <w:sz w:val="14"/>
              </w:rPr>
              <w:t>-0.658</w:t>
            </w:r>
          </w:p>
        </w:tc>
        <w:tc>
          <w:tcPr>
            <w:tcW w:w="1094" w:type="dxa"/>
          </w:tcPr>
          <w:p>
            <w:pPr>
              <w:pStyle w:val="TableParagraph"/>
              <w:ind w:left="16"/>
              <w:rPr>
                <w:sz w:val="14"/>
              </w:rPr>
            </w:pPr>
            <w:r>
              <w:rPr>
                <w:spacing w:val="-2"/>
                <w:sz w:val="14"/>
              </w:rPr>
              <w:t>1.225</w:t>
            </w:r>
          </w:p>
        </w:tc>
        <w:tc>
          <w:tcPr>
            <w:tcW w:w="1093" w:type="dxa"/>
          </w:tcPr>
          <w:p>
            <w:pPr>
              <w:pStyle w:val="TableParagraph"/>
              <w:ind w:left="17" w:right="2"/>
              <w:rPr>
                <w:sz w:val="14"/>
              </w:rPr>
            </w:pPr>
            <w:r>
              <w:rPr>
                <w:spacing w:val="-2"/>
                <w:sz w:val="14"/>
              </w:rPr>
              <w:t>0.222</w:t>
            </w:r>
          </w:p>
        </w:tc>
        <w:tc>
          <w:tcPr>
            <w:tcW w:w="1093" w:type="dxa"/>
          </w:tcPr>
          <w:p>
            <w:pPr>
              <w:pStyle w:val="TableParagraph"/>
              <w:ind w:left="17"/>
              <w:rPr>
                <w:sz w:val="14"/>
              </w:rPr>
            </w:pPr>
            <w:r>
              <w:rPr>
                <w:spacing w:val="-2"/>
                <w:sz w:val="14"/>
              </w:rPr>
              <w:t>4.258</w:t>
            </w:r>
          </w:p>
        </w:tc>
      </w:tr>
      <w:tr>
        <w:trPr>
          <w:trHeight w:val="230" w:hRule="atLeast"/>
        </w:trPr>
        <w:tc>
          <w:tcPr>
            <w:tcW w:w="1987" w:type="dxa"/>
          </w:tcPr>
          <w:p>
            <w:pPr>
              <w:pStyle w:val="TableParagraph"/>
              <w:ind w:left="33"/>
              <w:jc w:val="left"/>
              <w:rPr>
                <w:sz w:val="14"/>
              </w:rPr>
            </w:pPr>
            <w:r>
              <w:rPr>
                <w:sz w:val="14"/>
              </w:rPr>
              <w:t>Firm</w:t>
            </w:r>
            <w:r>
              <w:rPr>
                <w:spacing w:val="-4"/>
                <w:sz w:val="14"/>
              </w:rPr>
              <w:t> </w:t>
            </w:r>
            <w:r>
              <w:rPr>
                <w:sz w:val="14"/>
              </w:rPr>
              <w:t>Size</w:t>
            </w:r>
            <w:r>
              <w:rPr>
                <w:spacing w:val="-3"/>
                <w:sz w:val="14"/>
              </w:rPr>
              <w:t> </w:t>
            </w:r>
            <w:r>
              <w:rPr>
                <w:spacing w:val="-2"/>
                <w:sz w:val="14"/>
              </w:rPr>
              <w:t>(SIZE)</w:t>
            </w:r>
          </w:p>
        </w:tc>
        <w:tc>
          <w:tcPr>
            <w:tcW w:w="1095" w:type="dxa"/>
          </w:tcPr>
          <w:p>
            <w:pPr>
              <w:pStyle w:val="TableParagraph"/>
              <w:ind w:left="4" w:right="1"/>
              <w:rPr>
                <w:sz w:val="14"/>
              </w:rPr>
            </w:pPr>
            <w:r>
              <w:rPr>
                <w:spacing w:val="-5"/>
                <w:sz w:val="14"/>
              </w:rPr>
              <w:t>160</w:t>
            </w:r>
          </w:p>
        </w:tc>
        <w:tc>
          <w:tcPr>
            <w:tcW w:w="1094" w:type="dxa"/>
          </w:tcPr>
          <w:p>
            <w:pPr>
              <w:pStyle w:val="TableParagraph"/>
              <w:ind w:left="16" w:right="9"/>
              <w:rPr>
                <w:sz w:val="14"/>
              </w:rPr>
            </w:pPr>
            <w:r>
              <w:rPr>
                <w:spacing w:val="-2"/>
                <w:sz w:val="14"/>
              </w:rPr>
              <w:t>1.11e7</w:t>
            </w:r>
          </w:p>
        </w:tc>
        <w:tc>
          <w:tcPr>
            <w:tcW w:w="1094" w:type="dxa"/>
          </w:tcPr>
          <w:p>
            <w:pPr>
              <w:pStyle w:val="TableParagraph"/>
              <w:ind w:left="16" w:right="8"/>
              <w:rPr>
                <w:sz w:val="14"/>
              </w:rPr>
            </w:pPr>
            <w:r>
              <w:rPr>
                <w:spacing w:val="-2"/>
                <w:sz w:val="14"/>
              </w:rPr>
              <w:t>1.27e7</w:t>
            </w:r>
          </w:p>
        </w:tc>
        <w:tc>
          <w:tcPr>
            <w:tcW w:w="1091" w:type="dxa"/>
          </w:tcPr>
          <w:p>
            <w:pPr>
              <w:pStyle w:val="TableParagraph"/>
              <w:ind w:left="10"/>
              <w:rPr>
                <w:sz w:val="14"/>
              </w:rPr>
            </w:pPr>
            <w:r>
              <w:rPr>
                <w:spacing w:val="-2"/>
                <w:sz w:val="14"/>
              </w:rPr>
              <w:t>321069</w:t>
            </w:r>
          </w:p>
        </w:tc>
        <w:tc>
          <w:tcPr>
            <w:tcW w:w="1094" w:type="dxa"/>
          </w:tcPr>
          <w:p>
            <w:pPr>
              <w:pStyle w:val="TableParagraph"/>
              <w:ind w:left="16"/>
              <w:rPr>
                <w:sz w:val="14"/>
              </w:rPr>
            </w:pPr>
            <w:r>
              <w:rPr>
                <w:spacing w:val="-2"/>
                <w:sz w:val="14"/>
              </w:rPr>
              <w:t>4.91e7</w:t>
            </w:r>
          </w:p>
        </w:tc>
        <w:tc>
          <w:tcPr>
            <w:tcW w:w="1093" w:type="dxa"/>
          </w:tcPr>
          <w:p>
            <w:pPr>
              <w:pStyle w:val="TableParagraph"/>
              <w:ind w:left="17" w:right="2"/>
              <w:rPr>
                <w:sz w:val="14"/>
              </w:rPr>
            </w:pPr>
            <w:r>
              <w:rPr>
                <w:spacing w:val="-2"/>
                <w:sz w:val="14"/>
              </w:rPr>
              <w:t>1.291</w:t>
            </w:r>
          </w:p>
        </w:tc>
        <w:tc>
          <w:tcPr>
            <w:tcW w:w="1093" w:type="dxa"/>
          </w:tcPr>
          <w:p>
            <w:pPr>
              <w:pStyle w:val="TableParagraph"/>
              <w:ind w:left="17"/>
              <w:rPr>
                <w:sz w:val="14"/>
              </w:rPr>
            </w:pPr>
            <w:r>
              <w:rPr>
                <w:spacing w:val="-2"/>
                <w:sz w:val="14"/>
              </w:rPr>
              <w:t>3.754</w:t>
            </w:r>
          </w:p>
        </w:tc>
      </w:tr>
      <w:tr>
        <w:trPr>
          <w:trHeight w:val="232" w:hRule="atLeast"/>
        </w:trPr>
        <w:tc>
          <w:tcPr>
            <w:tcW w:w="1987" w:type="dxa"/>
          </w:tcPr>
          <w:p>
            <w:pPr>
              <w:pStyle w:val="TableParagraph"/>
              <w:ind w:left="33"/>
              <w:jc w:val="left"/>
              <w:rPr>
                <w:sz w:val="14"/>
              </w:rPr>
            </w:pPr>
            <w:r>
              <w:rPr>
                <w:sz w:val="14"/>
              </w:rPr>
              <w:t>Firm</w:t>
            </w:r>
            <w:r>
              <w:rPr>
                <w:spacing w:val="-4"/>
                <w:sz w:val="14"/>
              </w:rPr>
              <w:t> </w:t>
            </w:r>
            <w:r>
              <w:rPr>
                <w:sz w:val="14"/>
              </w:rPr>
              <w:t>Age</w:t>
            </w:r>
            <w:r>
              <w:rPr>
                <w:spacing w:val="-4"/>
                <w:sz w:val="14"/>
              </w:rPr>
              <w:t> </w:t>
            </w:r>
            <w:r>
              <w:rPr>
                <w:spacing w:val="-2"/>
                <w:sz w:val="14"/>
              </w:rPr>
              <w:t>(AGE)</w:t>
            </w:r>
          </w:p>
        </w:tc>
        <w:tc>
          <w:tcPr>
            <w:tcW w:w="1095" w:type="dxa"/>
          </w:tcPr>
          <w:p>
            <w:pPr>
              <w:pStyle w:val="TableParagraph"/>
              <w:ind w:left="4" w:right="1"/>
              <w:rPr>
                <w:sz w:val="14"/>
              </w:rPr>
            </w:pPr>
            <w:r>
              <w:rPr>
                <w:spacing w:val="-5"/>
                <w:sz w:val="14"/>
              </w:rPr>
              <w:t>160</w:t>
            </w:r>
          </w:p>
        </w:tc>
        <w:tc>
          <w:tcPr>
            <w:tcW w:w="1094" w:type="dxa"/>
          </w:tcPr>
          <w:p>
            <w:pPr>
              <w:pStyle w:val="TableParagraph"/>
              <w:ind w:left="16" w:right="11"/>
              <w:rPr>
                <w:sz w:val="14"/>
              </w:rPr>
            </w:pPr>
            <w:r>
              <w:rPr>
                <w:spacing w:val="-2"/>
                <w:sz w:val="14"/>
              </w:rPr>
              <w:t>35.938</w:t>
            </w:r>
          </w:p>
        </w:tc>
        <w:tc>
          <w:tcPr>
            <w:tcW w:w="1094" w:type="dxa"/>
          </w:tcPr>
          <w:p>
            <w:pPr>
              <w:pStyle w:val="TableParagraph"/>
              <w:ind w:left="16" w:right="10"/>
              <w:rPr>
                <w:sz w:val="14"/>
              </w:rPr>
            </w:pPr>
            <w:r>
              <w:rPr>
                <w:spacing w:val="-2"/>
                <w:sz w:val="14"/>
              </w:rPr>
              <w:t>23.249</w:t>
            </w:r>
          </w:p>
        </w:tc>
        <w:tc>
          <w:tcPr>
            <w:tcW w:w="1091" w:type="dxa"/>
          </w:tcPr>
          <w:p>
            <w:pPr>
              <w:pStyle w:val="TableParagraph"/>
              <w:ind w:left="13"/>
              <w:rPr>
                <w:sz w:val="14"/>
              </w:rPr>
            </w:pPr>
            <w:r>
              <w:rPr>
                <w:spacing w:val="-10"/>
                <w:sz w:val="14"/>
              </w:rPr>
              <w:t>5</w:t>
            </w:r>
          </w:p>
        </w:tc>
        <w:tc>
          <w:tcPr>
            <w:tcW w:w="1094" w:type="dxa"/>
          </w:tcPr>
          <w:p>
            <w:pPr>
              <w:pStyle w:val="TableParagraph"/>
              <w:ind w:left="16" w:right="2"/>
              <w:rPr>
                <w:sz w:val="14"/>
              </w:rPr>
            </w:pPr>
            <w:r>
              <w:rPr>
                <w:spacing w:val="-5"/>
                <w:sz w:val="14"/>
              </w:rPr>
              <w:t>59</w:t>
            </w:r>
          </w:p>
        </w:tc>
        <w:tc>
          <w:tcPr>
            <w:tcW w:w="1093" w:type="dxa"/>
          </w:tcPr>
          <w:p>
            <w:pPr>
              <w:pStyle w:val="TableParagraph"/>
              <w:ind w:left="17" w:right="5"/>
              <w:rPr>
                <w:sz w:val="14"/>
              </w:rPr>
            </w:pPr>
            <w:r>
              <w:rPr>
                <w:spacing w:val="-2"/>
                <w:sz w:val="14"/>
              </w:rPr>
              <w:t>-0.728</w:t>
            </w:r>
          </w:p>
        </w:tc>
        <w:tc>
          <w:tcPr>
            <w:tcW w:w="1093" w:type="dxa"/>
          </w:tcPr>
          <w:p>
            <w:pPr>
              <w:pStyle w:val="TableParagraph"/>
              <w:ind w:left="17"/>
              <w:rPr>
                <w:sz w:val="14"/>
              </w:rPr>
            </w:pPr>
            <w:r>
              <w:rPr>
                <w:spacing w:val="-2"/>
                <w:sz w:val="14"/>
              </w:rPr>
              <w:t>2.488</w:t>
            </w:r>
          </w:p>
        </w:tc>
      </w:tr>
    </w:tbl>
    <w:p>
      <w:pPr>
        <w:pStyle w:val="BodyText"/>
        <w:spacing w:before="14"/>
        <w:ind w:left="0" w:firstLine="0"/>
        <w:jc w:val="left"/>
        <w:rPr>
          <w:sz w:val="17"/>
        </w:rPr>
      </w:pPr>
    </w:p>
    <w:p>
      <w:pPr>
        <w:spacing w:before="0"/>
        <w:ind w:left="369" w:right="0" w:firstLine="0"/>
        <w:jc w:val="left"/>
        <w:rPr>
          <w:i/>
          <w:sz w:val="16"/>
        </w:rPr>
      </w:pPr>
      <w:r>
        <w:rPr>
          <w:b/>
          <w:sz w:val="16"/>
        </w:rPr>
        <w:t>Source:</w:t>
      </w:r>
      <w:r>
        <w:rPr>
          <w:b/>
          <w:spacing w:val="-7"/>
          <w:sz w:val="16"/>
        </w:rPr>
        <w:t> </w:t>
      </w:r>
      <w:r>
        <w:rPr>
          <w:i/>
          <w:sz w:val="16"/>
        </w:rPr>
        <w:t>STATA</w:t>
      </w:r>
      <w:r>
        <w:rPr>
          <w:i/>
          <w:spacing w:val="-4"/>
          <w:sz w:val="16"/>
        </w:rPr>
        <w:t> </w:t>
      </w:r>
      <w:r>
        <w:rPr>
          <w:i/>
          <w:sz w:val="16"/>
        </w:rPr>
        <w:t>Output,</w:t>
      </w:r>
      <w:r>
        <w:rPr>
          <w:i/>
          <w:spacing w:val="-6"/>
          <w:sz w:val="16"/>
        </w:rPr>
        <w:t> </w:t>
      </w:r>
      <w:r>
        <w:rPr>
          <w:i/>
          <w:spacing w:val="-4"/>
          <w:sz w:val="16"/>
        </w:rPr>
        <w:t>2025</w:t>
      </w:r>
    </w:p>
    <w:p>
      <w:pPr>
        <w:pStyle w:val="BodyText"/>
        <w:spacing w:before="78"/>
        <w:ind w:right="364"/>
      </w:pPr>
      <w:r>
        <w:rPr/>
        <w:t>Table</w:t>
      </w:r>
      <w:r>
        <w:rPr>
          <w:spacing w:val="-5"/>
        </w:rPr>
        <w:t> </w:t>
      </w:r>
      <w:r>
        <w:rPr/>
        <w:t>1</w:t>
      </w:r>
      <w:r>
        <w:rPr>
          <w:spacing w:val="-6"/>
        </w:rPr>
        <w:t> </w:t>
      </w:r>
      <w:r>
        <w:rPr/>
        <w:t>presents</w:t>
      </w:r>
      <w:r>
        <w:rPr>
          <w:spacing w:val="-4"/>
        </w:rPr>
        <w:t> </w:t>
      </w:r>
      <w:r>
        <w:rPr/>
        <w:t>the</w:t>
      </w:r>
      <w:r>
        <w:rPr>
          <w:spacing w:val="-5"/>
        </w:rPr>
        <w:t> </w:t>
      </w:r>
      <w:r>
        <w:rPr/>
        <w:t>descriptive</w:t>
      </w:r>
      <w:r>
        <w:rPr>
          <w:spacing w:val="-5"/>
        </w:rPr>
        <w:t> </w:t>
      </w:r>
      <w:r>
        <w:rPr/>
        <w:t>statistics</w:t>
      </w:r>
      <w:r>
        <w:rPr>
          <w:spacing w:val="-5"/>
        </w:rPr>
        <w:t> </w:t>
      </w:r>
      <w:r>
        <w:rPr/>
        <w:t>of</w:t>
      </w:r>
      <w:r>
        <w:rPr>
          <w:spacing w:val="-4"/>
        </w:rPr>
        <w:t> </w:t>
      </w:r>
      <w:r>
        <w:rPr/>
        <w:t>the</w:t>
      </w:r>
      <w:r>
        <w:rPr>
          <w:spacing w:val="-5"/>
        </w:rPr>
        <w:t> </w:t>
      </w:r>
      <w:r>
        <w:rPr/>
        <w:t>study</w:t>
      </w:r>
      <w:r>
        <w:rPr>
          <w:spacing w:val="-6"/>
        </w:rPr>
        <w:t> </w:t>
      </w:r>
      <w:r>
        <w:rPr/>
        <w:t>variables,</w:t>
      </w:r>
      <w:r>
        <w:rPr>
          <w:spacing w:val="-6"/>
        </w:rPr>
        <w:t> </w:t>
      </w:r>
      <w:r>
        <w:rPr/>
        <w:t>providing</w:t>
      </w:r>
      <w:r>
        <w:rPr>
          <w:spacing w:val="-6"/>
        </w:rPr>
        <w:t> </w:t>
      </w:r>
      <w:r>
        <w:rPr/>
        <w:t>insights</w:t>
      </w:r>
      <w:r>
        <w:rPr>
          <w:spacing w:val="-7"/>
        </w:rPr>
        <w:t> </w:t>
      </w:r>
      <w:r>
        <w:rPr/>
        <w:t>into</w:t>
      </w:r>
      <w:r>
        <w:rPr>
          <w:spacing w:val="-3"/>
        </w:rPr>
        <w:t> </w:t>
      </w:r>
      <w:r>
        <w:rPr/>
        <w:t>the</w:t>
      </w:r>
      <w:r>
        <w:rPr>
          <w:spacing w:val="-5"/>
        </w:rPr>
        <w:t> </w:t>
      </w:r>
      <w:r>
        <w:rPr/>
        <w:t>financial</w:t>
      </w:r>
      <w:r>
        <w:rPr>
          <w:spacing w:val="-4"/>
        </w:rPr>
        <w:t> </w:t>
      </w:r>
      <w:r>
        <w:rPr/>
        <w:t>performance</w:t>
      </w:r>
      <w:r>
        <w:rPr>
          <w:spacing w:val="-5"/>
        </w:rPr>
        <w:t> </w:t>
      </w:r>
      <w:r>
        <w:rPr/>
        <w:t>and</w:t>
      </w:r>
      <w:r>
        <w:rPr>
          <w:spacing w:val="-3"/>
        </w:rPr>
        <w:t> </w:t>
      </w:r>
      <w:r>
        <w:rPr/>
        <w:t>characteristics</w:t>
      </w:r>
      <w:r>
        <w:rPr>
          <w:spacing w:val="-5"/>
        </w:rPr>
        <w:t> </w:t>
      </w:r>
      <w:r>
        <w:rPr/>
        <w:t>of consumer goods firms.</w:t>
      </w:r>
    </w:p>
    <w:p>
      <w:pPr>
        <w:pStyle w:val="BodyText"/>
        <w:spacing w:before="62"/>
        <w:ind w:right="368"/>
      </w:pPr>
      <w:r>
        <w:rPr/>
        <w:t>The average </w:t>
      </w:r>
      <w:r>
        <w:rPr>
          <w:b/>
        </w:rPr>
        <w:t>share price (SP) </w:t>
      </w:r>
      <w:r>
        <w:rPr/>
        <w:t>is ₦103.49, with a wide dispersion (SD = ₦308.89). The minimum of ₦0.21 and maximum of ₦1,556 indicate extreme variability, suggesting the presence of both low- and high-valued firms. The high skewness (3.81) and kurtosis (16.37) confirm the presence of outliers and a heavy-tailed distribution.</w:t>
      </w:r>
    </w:p>
    <w:p>
      <w:pPr>
        <w:pStyle w:val="BodyText"/>
        <w:spacing w:before="58"/>
        <w:ind w:right="366"/>
      </w:pPr>
      <w:r>
        <w:rPr/>
        <w:t>The</w:t>
      </w:r>
      <w:r>
        <w:rPr>
          <w:spacing w:val="-3"/>
        </w:rPr>
        <w:t> </w:t>
      </w:r>
      <w:r>
        <w:rPr/>
        <w:t>average</w:t>
      </w:r>
      <w:r>
        <w:rPr>
          <w:spacing w:val="-2"/>
        </w:rPr>
        <w:t> </w:t>
      </w:r>
      <w:r>
        <w:rPr>
          <w:b/>
        </w:rPr>
        <w:t>earnings</w:t>
      </w:r>
      <w:r>
        <w:rPr>
          <w:b/>
          <w:spacing w:val="-5"/>
        </w:rPr>
        <w:t> </w:t>
      </w:r>
      <w:r>
        <w:rPr>
          <w:b/>
        </w:rPr>
        <w:t>per</w:t>
      </w:r>
      <w:r>
        <w:rPr>
          <w:b/>
          <w:spacing w:val="-3"/>
        </w:rPr>
        <w:t> </w:t>
      </w:r>
      <w:r>
        <w:rPr>
          <w:b/>
        </w:rPr>
        <w:t>share</w:t>
      </w:r>
      <w:r>
        <w:rPr>
          <w:b/>
          <w:spacing w:val="-3"/>
        </w:rPr>
        <w:t> </w:t>
      </w:r>
      <w:r>
        <w:rPr>
          <w:b/>
        </w:rPr>
        <w:t>(EPS) </w:t>
      </w:r>
      <w:r>
        <w:rPr/>
        <w:t>is</w:t>
      </w:r>
      <w:r>
        <w:rPr>
          <w:spacing w:val="-3"/>
        </w:rPr>
        <w:t> </w:t>
      </w:r>
      <w:r>
        <w:rPr/>
        <w:t>₦471.09,</w:t>
      </w:r>
      <w:r>
        <w:rPr>
          <w:spacing w:val="-4"/>
        </w:rPr>
        <w:t> </w:t>
      </w:r>
      <w:r>
        <w:rPr/>
        <w:t>but</w:t>
      </w:r>
      <w:r>
        <w:rPr>
          <w:spacing w:val="-2"/>
        </w:rPr>
        <w:t> </w:t>
      </w:r>
      <w:r>
        <w:rPr/>
        <w:t>with</w:t>
      </w:r>
      <w:r>
        <w:rPr>
          <w:spacing w:val="-3"/>
        </w:rPr>
        <w:t> </w:t>
      </w:r>
      <w:r>
        <w:rPr/>
        <w:t>a</w:t>
      </w:r>
      <w:r>
        <w:rPr>
          <w:spacing w:val="-3"/>
        </w:rPr>
        <w:t> </w:t>
      </w:r>
      <w:r>
        <w:rPr/>
        <w:t>very</w:t>
      </w:r>
      <w:r>
        <w:rPr>
          <w:spacing w:val="-3"/>
        </w:rPr>
        <w:t> </w:t>
      </w:r>
      <w:r>
        <w:rPr/>
        <w:t>large</w:t>
      </w:r>
      <w:r>
        <w:rPr>
          <w:spacing w:val="-3"/>
        </w:rPr>
        <w:t> </w:t>
      </w:r>
      <w:r>
        <w:rPr/>
        <w:t>spread</w:t>
      </w:r>
      <w:r>
        <w:rPr>
          <w:spacing w:val="-3"/>
        </w:rPr>
        <w:t> </w:t>
      </w:r>
      <w:r>
        <w:rPr/>
        <w:t>(SD</w:t>
      </w:r>
      <w:r>
        <w:rPr>
          <w:spacing w:val="-5"/>
        </w:rPr>
        <w:t> </w:t>
      </w:r>
      <w:r>
        <w:rPr/>
        <w:t>=</w:t>
      </w:r>
      <w:r>
        <w:rPr>
          <w:spacing w:val="-3"/>
        </w:rPr>
        <w:t> </w:t>
      </w:r>
      <w:r>
        <w:rPr/>
        <w:t>₦1,325.55).</w:t>
      </w:r>
      <w:r>
        <w:rPr>
          <w:spacing w:val="-6"/>
        </w:rPr>
        <w:t> </w:t>
      </w:r>
      <w:r>
        <w:rPr/>
        <w:t>The</w:t>
      </w:r>
      <w:r>
        <w:rPr>
          <w:spacing w:val="-3"/>
        </w:rPr>
        <w:t> </w:t>
      </w:r>
      <w:r>
        <w:rPr/>
        <w:t>negative</w:t>
      </w:r>
      <w:r>
        <w:rPr>
          <w:spacing w:val="-3"/>
        </w:rPr>
        <w:t> </w:t>
      </w:r>
      <w:r>
        <w:rPr/>
        <w:t>minimum</w:t>
      </w:r>
      <w:r>
        <w:rPr>
          <w:spacing w:val="-3"/>
        </w:rPr>
        <w:t> </w:t>
      </w:r>
      <w:r>
        <w:rPr/>
        <w:t>(₦–3,813) highlights loss-making firms, while the maximum (₦6,177) reflects highly profitable ones. Positive skewness (2.66) and high kurtosis (11.33) indicate that a few firms dominate in profitability, creating an uneven distribution.</w:t>
      </w:r>
    </w:p>
    <w:p>
      <w:pPr>
        <w:pStyle w:val="BodyText"/>
        <w:spacing w:before="61"/>
        <w:ind w:right="366"/>
      </w:pPr>
      <w:r>
        <w:rPr/>
        <w:t>For </w:t>
      </w:r>
      <w:r>
        <w:rPr>
          <w:b/>
        </w:rPr>
        <w:t>book value per share (BVPS)</w:t>
      </w:r>
      <w:r>
        <w:rPr/>
        <w:t>, the mean is ₦24.88, with a minimum of ₦–18.97 and maximum of ₦126.71. The negative value suggests</w:t>
      </w:r>
      <w:r>
        <w:rPr>
          <w:spacing w:val="-2"/>
        </w:rPr>
        <w:t> </w:t>
      </w:r>
      <w:r>
        <w:rPr/>
        <w:t>some</w:t>
      </w:r>
      <w:r>
        <w:rPr>
          <w:spacing w:val="-2"/>
        </w:rPr>
        <w:t> </w:t>
      </w:r>
      <w:r>
        <w:rPr/>
        <w:t>firms</w:t>
      </w:r>
      <w:r>
        <w:rPr>
          <w:spacing w:val="-2"/>
        </w:rPr>
        <w:t> </w:t>
      </w:r>
      <w:r>
        <w:rPr/>
        <w:t>have</w:t>
      </w:r>
      <w:r>
        <w:rPr>
          <w:spacing w:val="-2"/>
        </w:rPr>
        <w:t> </w:t>
      </w:r>
      <w:r>
        <w:rPr/>
        <w:t>liabilities</w:t>
      </w:r>
      <w:r>
        <w:rPr>
          <w:spacing w:val="-2"/>
        </w:rPr>
        <w:t> </w:t>
      </w:r>
      <w:r>
        <w:rPr/>
        <w:t>exceeding assets.</w:t>
      </w:r>
      <w:r>
        <w:rPr>
          <w:spacing w:val="-1"/>
        </w:rPr>
        <w:t> </w:t>
      </w:r>
      <w:r>
        <w:rPr/>
        <w:t>The</w:t>
      </w:r>
      <w:r>
        <w:rPr>
          <w:spacing w:val="-2"/>
        </w:rPr>
        <w:t> </w:t>
      </w:r>
      <w:r>
        <w:rPr/>
        <w:t>distribution is</w:t>
      </w:r>
      <w:r>
        <w:rPr>
          <w:spacing w:val="-2"/>
        </w:rPr>
        <w:t> </w:t>
      </w:r>
      <w:r>
        <w:rPr/>
        <w:t>positively skewed (1.44)</w:t>
      </w:r>
      <w:r>
        <w:rPr>
          <w:spacing w:val="-1"/>
        </w:rPr>
        <w:t> </w:t>
      </w:r>
      <w:r>
        <w:rPr/>
        <w:t>with kurtosis</w:t>
      </w:r>
      <w:r>
        <w:rPr>
          <w:spacing w:val="-2"/>
        </w:rPr>
        <w:t> </w:t>
      </w:r>
      <w:r>
        <w:rPr/>
        <w:t>of</w:t>
      </w:r>
      <w:r>
        <w:rPr>
          <w:spacing w:val="-3"/>
        </w:rPr>
        <w:t> </w:t>
      </w:r>
      <w:r>
        <w:rPr/>
        <w:t>4.38,</w:t>
      </w:r>
      <w:r>
        <w:rPr>
          <w:spacing w:val="-1"/>
        </w:rPr>
        <w:t> </w:t>
      </w:r>
      <w:r>
        <w:rPr/>
        <w:t>implying moderate concentration of values around the mean but with some extreme cases.</w:t>
      </w:r>
    </w:p>
    <w:p>
      <w:pPr>
        <w:pStyle w:val="BodyText"/>
        <w:spacing w:before="61"/>
        <w:ind w:right="368"/>
      </w:pPr>
      <w:r>
        <w:rPr/>
        <w:t>The</w:t>
      </w:r>
      <w:r>
        <w:rPr>
          <w:spacing w:val="-7"/>
        </w:rPr>
        <w:t> </w:t>
      </w:r>
      <w:r>
        <w:rPr/>
        <w:t>mean</w:t>
      </w:r>
      <w:r>
        <w:rPr>
          <w:spacing w:val="-6"/>
        </w:rPr>
        <w:t> </w:t>
      </w:r>
      <w:r>
        <w:rPr>
          <w:b/>
        </w:rPr>
        <w:t>free</w:t>
      </w:r>
      <w:r>
        <w:rPr>
          <w:b/>
          <w:spacing w:val="-7"/>
        </w:rPr>
        <w:t> </w:t>
      </w:r>
      <w:r>
        <w:rPr>
          <w:b/>
        </w:rPr>
        <w:t>cash</w:t>
      </w:r>
      <w:r>
        <w:rPr>
          <w:b/>
          <w:spacing w:val="-7"/>
        </w:rPr>
        <w:t> </w:t>
      </w:r>
      <w:r>
        <w:rPr>
          <w:b/>
        </w:rPr>
        <w:t>flow</w:t>
      </w:r>
      <w:r>
        <w:rPr>
          <w:b/>
          <w:spacing w:val="-9"/>
        </w:rPr>
        <w:t> </w:t>
      </w:r>
      <w:r>
        <w:rPr>
          <w:b/>
        </w:rPr>
        <w:t>(FCF)</w:t>
      </w:r>
      <w:r>
        <w:rPr>
          <w:b/>
          <w:spacing w:val="-7"/>
        </w:rPr>
        <w:t> </w:t>
      </w:r>
      <w:r>
        <w:rPr/>
        <w:t>is</w:t>
      </w:r>
      <w:r>
        <w:rPr>
          <w:spacing w:val="-7"/>
        </w:rPr>
        <w:t> </w:t>
      </w:r>
      <w:r>
        <w:rPr/>
        <w:t>0.122,</w:t>
      </w:r>
      <w:r>
        <w:rPr>
          <w:spacing w:val="-7"/>
        </w:rPr>
        <w:t> </w:t>
      </w:r>
      <w:r>
        <w:rPr/>
        <w:t>indicating</w:t>
      </w:r>
      <w:r>
        <w:rPr>
          <w:spacing w:val="-7"/>
        </w:rPr>
        <w:t> </w:t>
      </w:r>
      <w:r>
        <w:rPr/>
        <w:t>that</w:t>
      </w:r>
      <w:r>
        <w:rPr>
          <w:spacing w:val="-9"/>
        </w:rPr>
        <w:t> </w:t>
      </w:r>
      <w:r>
        <w:rPr/>
        <w:t>on</w:t>
      </w:r>
      <w:r>
        <w:rPr>
          <w:spacing w:val="-7"/>
        </w:rPr>
        <w:t> </w:t>
      </w:r>
      <w:r>
        <w:rPr/>
        <w:t>average,</w:t>
      </w:r>
      <w:r>
        <w:rPr>
          <w:spacing w:val="-7"/>
        </w:rPr>
        <w:t> </w:t>
      </w:r>
      <w:r>
        <w:rPr/>
        <w:t>firms</w:t>
      </w:r>
      <w:r>
        <w:rPr>
          <w:spacing w:val="-7"/>
        </w:rPr>
        <w:t> </w:t>
      </w:r>
      <w:r>
        <w:rPr/>
        <w:t>generate</w:t>
      </w:r>
      <w:r>
        <w:rPr>
          <w:spacing w:val="-7"/>
        </w:rPr>
        <w:t> </w:t>
      </w:r>
      <w:r>
        <w:rPr/>
        <w:t>positive</w:t>
      </w:r>
      <w:r>
        <w:rPr>
          <w:spacing w:val="-7"/>
        </w:rPr>
        <w:t> </w:t>
      </w:r>
      <w:r>
        <w:rPr/>
        <w:t>cash</w:t>
      </w:r>
      <w:r>
        <w:rPr>
          <w:spacing w:val="-7"/>
        </w:rPr>
        <w:t> </w:t>
      </w:r>
      <w:r>
        <w:rPr/>
        <w:t>flow</w:t>
      </w:r>
      <w:r>
        <w:rPr>
          <w:spacing w:val="-9"/>
        </w:rPr>
        <w:t> </w:t>
      </w:r>
      <w:r>
        <w:rPr/>
        <w:t>after</w:t>
      </w:r>
      <w:r>
        <w:rPr>
          <w:spacing w:val="-7"/>
        </w:rPr>
        <w:t> </w:t>
      </w:r>
      <w:r>
        <w:rPr/>
        <w:t>expenses</w:t>
      </w:r>
      <w:r>
        <w:rPr>
          <w:spacing w:val="-7"/>
        </w:rPr>
        <w:t> </w:t>
      </w:r>
      <w:r>
        <w:rPr/>
        <w:t>and</w:t>
      </w:r>
      <w:r>
        <w:rPr>
          <w:spacing w:val="-7"/>
        </w:rPr>
        <w:t> </w:t>
      </w:r>
      <w:r>
        <w:rPr/>
        <w:t>reinvestment. However, the negative minimum (–0.329) suggests some firms experience cash deficits. With low skewness</w:t>
      </w:r>
      <w:r>
        <w:rPr>
          <w:spacing w:val="-1"/>
        </w:rPr>
        <w:t> </w:t>
      </w:r>
      <w:r>
        <w:rPr/>
        <w:t>(0.23) and kurtosis (4.23), the distribution is fairly symmetrical but slightly heavy-tailed.</w:t>
      </w:r>
    </w:p>
    <w:p>
      <w:pPr>
        <w:pStyle w:val="BodyText"/>
        <w:spacing w:before="60"/>
        <w:ind w:right="368"/>
      </w:pPr>
      <w:r>
        <w:rPr/>
        <w:t>The</w:t>
      </w:r>
      <w:r>
        <w:rPr>
          <w:spacing w:val="-7"/>
        </w:rPr>
        <w:t> </w:t>
      </w:r>
      <w:r>
        <w:rPr>
          <w:b/>
        </w:rPr>
        <w:t>capital</w:t>
      </w:r>
      <w:r>
        <w:rPr>
          <w:b/>
          <w:spacing w:val="-9"/>
        </w:rPr>
        <w:t> </w:t>
      </w:r>
      <w:r>
        <w:rPr>
          <w:b/>
        </w:rPr>
        <w:t>expenditure</w:t>
      </w:r>
      <w:r>
        <w:rPr>
          <w:b/>
          <w:spacing w:val="-7"/>
        </w:rPr>
        <w:t> </w:t>
      </w:r>
      <w:r>
        <w:rPr>
          <w:b/>
        </w:rPr>
        <w:t>ratio</w:t>
      </w:r>
      <w:r>
        <w:rPr>
          <w:b/>
          <w:spacing w:val="-7"/>
        </w:rPr>
        <w:t> </w:t>
      </w:r>
      <w:r>
        <w:rPr>
          <w:b/>
        </w:rPr>
        <w:t>(CER)</w:t>
      </w:r>
      <w:r>
        <w:rPr>
          <w:b/>
          <w:spacing w:val="-6"/>
        </w:rPr>
        <w:t> </w:t>
      </w:r>
      <w:r>
        <w:rPr/>
        <w:t>has</w:t>
      </w:r>
      <w:r>
        <w:rPr>
          <w:spacing w:val="-7"/>
        </w:rPr>
        <w:t> </w:t>
      </w:r>
      <w:r>
        <w:rPr/>
        <w:t>a</w:t>
      </w:r>
      <w:r>
        <w:rPr>
          <w:spacing w:val="-10"/>
        </w:rPr>
        <w:t> </w:t>
      </w:r>
      <w:r>
        <w:rPr/>
        <w:t>mean</w:t>
      </w:r>
      <w:r>
        <w:rPr>
          <w:spacing w:val="-6"/>
        </w:rPr>
        <w:t> </w:t>
      </w:r>
      <w:r>
        <w:rPr/>
        <w:t>of</w:t>
      </w:r>
      <w:r>
        <w:rPr>
          <w:spacing w:val="-9"/>
        </w:rPr>
        <w:t> </w:t>
      </w:r>
      <w:r>
        <w:rPr/>
        <w:t>0.014,</w:t>
      </w:r>
      <w:r>
        <w:rPr>
          <w:spacing w:val="-8"/>
        </w:rPr>
        <w:t> </w:t>
      </w:r>
      <w:r>
        <w:rPr/>
        <w:t>meaning</w:t>
      </w:r>
      <w:r>
        <w:rPr>
          <w:spacing w:val="-6"/>
        </w:rPr>
        <w:t> </w:t>
      </w:r>
      <w:r>
        <w:rPr/>
        <w:t>firms</w:t>
      </w:r>
      <w:r>
        <w:rPr>
          <w:spacing w:val="-10"/>
        </w:rPr>
        <w:t> </w:t>
      </w:r>
      <w:r>
        <w:rPr/>
        <w:t>invest</w:t>
      </w:r>
      <w:r>
        <w:rPr>
          <w:spacing w:val="-7"/>
        </w:rPr>
        <w:t> </w:t>
      </w:r>
      <w:r>
        <w:rPr/>
        <w:t>about</w:t>
      </w:r>
      <w:r>
        <w:rPr>
          <w:spacing w:val="-9"/>
        </w:rPr>
        <w:t> </w:t>
      </w:r>
      <w:r>
        <w:rPr/>
        <w:t>1.4%</w:t>
      </w:r>
      <w:r>
        <w:rPr>
          <w:spacing w:val="-8"/>
        </w:rPr>
        <w:t> </w:t>
      </w:r>
      <w:r>
        <w:rPr/>
        <w:t>of</w:t>
      </w:r>
      <w:r>
        <w:rPr>
          <w:spacing w:val="-9"/>
        </w:rPr>
        <w:t> </w:t>
      </w:r>
      <w:r>
        <w:rPr/>
        <w:t>assets</w:t>
      </w:r>
      <w:r>
        <w:rPr>
          <w:spacing w:val="-7"/>
        </w:rPr>
        <w:t> </w:t>
      </w:r>
      <w:r>
        <w:rPr/>
        <w:t>in</w:t>
      </w:r>
      <w:r>
        <w:rPr>
          <w:spacing w:val="-8"/>
        </w:rPr>
        <w:t> </w:t>
      </w:r>
      <w:r>
        <w:rPr/>
        <w:t>capital</w:t>
      </w:r>
      <w:r>
        <w:rPr>
          <w:spacing w:val="-9"/>
        </w:rPr>
        <w:t> </w:t>
      </w:r>
      <w:r>
        <w:rPr/>
        <w:t>expenditure.</w:t>
      </w:r>
      <w:r>
        <w:rPr>
          <w:spacing w:val="-6"/>
        </w:rPr>
        <w:t> </w:t>
      </w:r>
      <w:r>
        <w:rPr/>
        <w:t>However, the wide variation (min = –6.84, max = 17.08) and extreme kurtosis (42.70) suggest occasional very large investments or disinvestments, with a negatively skewed distribution (–5.49).</w:t>
      </w:r>
    </w:p>
    <w:p>
      <w:pPr>
        <w:pStyle w:val="BodyText"/>
        <w:spacing w:before="59"/>
        <w:ind w:right="368"/>
      </w:pPr>
      <w:r>
        <w:rPr/>
        <w:t>The </w:t>
      </w:r>
      <w:r>
        <w:rPr>
          <w:b/>
        </w:rPr>
        <w:t>operating cash flow ratio (OCFR) </w:t>
      </w:r>
      <w:r>
        <w:rPr/>
        <w:t>averages 0.245, reflecting moderate ability to generate cash flow from operations relative to obligations.</w:t>
      </w:r>
      <w:r>
        <w:rPr>
          <w:spacing w:val="-9"/>
        </w:rPr>
        <w:t> </w:t>
      </w:r>
      <w:r>
        <w:rPr/>
        <w:t>The</w:t>
      </w:r>
      <w:r>
        <w:rPr>
          <w:spacing w:val="-7"/>
        </w:rPr>
        <w:t> </w:t>
      </w:r>
      <w:r>
        <w:rPr/>
        <w:t>range</w:t>
      </w:r>
      <w:r>
        <w:rPr>
          <w:spacing w:val="-7"/>
        </w:rPr>
        <w:t> </w:t>
      </w:r>
      <w:r>
        <w:rPr/>
        <w:t>(–0.658</w:t>
      </w:r>
      <w:r>
        <w:rPr>
          <w:spacing w:val="-6"/>
        </w:rPr>
        <w:t> </w:t>
      </w:r>
      <w:r>
        <w:rPr/>
        <w:t>to</w:t>
      </w:r>
      <w:r>
        <w:rPr>
          <w:spacing w:val="-8"/>
        </w:rPr>
        <w:t> </w:t>
      </w:r>
      <w:r>
        <w:rPr/>
        <w:t>1.225)</w:t>
      </w:r>
      <w:r>
        <w:rPr>
          <w:spacing w:val="-9"/>
        </w:rPr>
        <w:t> </w:t>
      </w:r>
      <w:r>
        <w:rPr/>
        <w:t>shows</w:t>
      </w:r>
      <w:r>
        <w:rPr>
          <w:spacing w:val="-7"/>
        </w:rPr>
        <w:t> </w:t>
      </w:r>
      <w:r>
        <w:rPr/>
        <w:t>some</w:t>
      </w:r>
      <w:r>
        <w:rPr>
          <w:spacing w:val="-7"/>
        </w:rPr>
        <w:t> </w:t>
      </w:r>
      <w:r>
        <w:rPr/>
        <w:t>firms</w:t>
      </w:r>
      <w:r>
        <w:rPr>
          <w:spacing w:val="-7"/>
        </w:rPr>
        <w:t> </w:t>
      </w:r>
      <w:r>
        <w:rPr/>
        <w:t>face</w:t>
      </w:r>
      <w:r>
        <w:rPr>
          <w:spacing w:val="-7"/>
        </w:rPr>
        <w:t> </w:t>
      </w:r>
      <w:r>
        <w:rPr/>
        <w:t>negative</w:t>
      </w:r>
      <w:r>
        <w:rPr>
          <w:spacing w:val="-7"/>
        </w:rPr>
        <w:t> </w:t>
      </w:r>
      <w:r>
        <w:rPr/>
        <w:t>operating</w:t>
      </w:r>
      <w:r>
        <w:rPr>
          <w:spacing w:val="-8"/>
        </w:rPr>
        <w:t> </w:t>
      </w:r>
      <w:r>
        <w:rPr/>
        <w:t>cash</w:t>
      </w:r>
      <w:r>
        <w:rPr>
          <w:spacing w:val="-6"/>
        </w:rPr>
        <w:t> </w:t>
      </w:r>
      <w:r>
        <w:rPr/>
        <w:t>flow.</w:t>
      </w:r>
      <w:r>
        <w:rPr>
          <w:spacing w:val="-6"/>
        </w:rPr>
        <w:t> </w:t>
      </w:r>
      <w:r>
        <w:rPr/>
        <w:t>Its</w:t>
      </w:r>
      <w:r>
        <w:rPr>
          <w:spacing w:val="-9"/>
        </w:rPr>
        <w:t> </w:t>
      </w:r>
      <w:r>
        <w:rPr/>
        <w:t>low</w:t>
      </w:r>
      <w:r>
        <w:rPr>
          <w:spacing w:val="-12"/>
        </w:rPr>
        <w:t> </w:t>
      </w:r>
      <w:r>
        <w:rPr/>
        <w:t>skewness</w:t>
      </w:r>
      <w:r>
        <w:rPr>
          <w:spacing w:val="-7"/>
        </w:rPr>
        <w:t> </w:t>
      </w:r>
      <w:r>
        <w:rPr/>
        <w:t>(0.22)</w:t>
      </w:r>
      <w:r>
        <w:rPr>
          <w:spacing w:val="-7"/>
        </w:rPr>
        <w:t> </w:t>
      </w:r>
      <w:r>
        <w:rPr/>
        <w:t>and</w:t>
      </w:r>
      <w:r>
        <w:rPr>
          <w:spacing w:val="-8"/>
        </w:rPr>
        <w:t> </w:t>
      </w:r>
      <w:r>
        <w:rPr/>
        <w:t>moderate</w:t>
      </w:r>
      <w:r>
        <w:rPr>
          <w:spacing w:val="-7"/>
        </w:rPr>
        <w:t> </w:t>
      </w:r>
      <w:r>
        <w:rPr/>
        <w:t>kurtosis (4.26) point to relatively normal but slightly heavy-tailed distribution.</w:t>
      </w:r>
    </w:p>
    <w:p>
      <w:pPr>
        <w:pStyle w:val="BodyText"/>
        <w:spacing w:before="61"/>
        <w:ind w:right="363"/>
      </w:pPr>
      <w:r>
        <w:rPr/>
        <w:t>The</w:t>
      </w:r>
      <w:r>
        <w:rPr>
          <w:spacing w:val="-4"/>
        </w:rPr>
        <w:t> </w:t>
      </w:r>
      <w:r>
        <w:rPr/>
        <w:t>average</w:t>
      </w:r>
      <w:r>
        <w:rPr>
          <w:spacing w:val="-4"/>
        </w:rPr>
        <w:t> </w:t>
      </w:r>
      <w:r>
        <w:rPr>
          <w:b/>
        </w:rPr>
        <w:t>firm</w:t>
      </w:r>
      <w:r>
        <w:rPr>
          <w:b/>
          <w:spacing w:val="-3"/>
        </w:rPr>
        <w:t> </w:t>
      </w:r>
      <w:r>
        <w:rPr>
          <w:b/>
        </w:rPr>
        <w:t>size</w:t>
      </w:r>
      <w:r>
        <w:rPr>
          <w:b/>
          <w:spacing w:val="-4"/>
        </w:rPr>
        <w:t> </w:t>
      </w:r>
      <w:r>
        <w:rPr>
          <w:b/>
        </w:rPr>
        <w:t>(SIZE)</w:t>
      </w:r>
      <w:r>
        <w:rPr>
          <w:b/>
          <w:spacing w:val="-2"/>
        </w:rPr>
        <w:t> </w:t>
      </w:r>
      <w:r>
        <w:rPr/>
        <w:t>is</w:t>
      </w:r>
      <w:r>
        <w:rPr>
          <w:spacing w:val="-2"/>
        </w:rPr>
        <w:t> </w:t>
      </w:r>
      <w:r>
        <w:rPr/>
        <w:t>₦11.1</w:t>
      </w:r>
      <w:r>
        <w:rPr>
          <w:spacing w:val="-2"/>
        </w:rPr>
        <w:t> </w:t>
      </w:r>
      <w:r>
        <w:rPr/>
        <w:t>million</w:t>
      </w:r>
      <w:r>
        <w:rPr>
          <w:spacing w:val="-2"/>
        </w:rPr>
        <w:t> </w:t>
      </w:r>
      <w:r>
        <w:rPr/>
        <w:t>in</w:t>
      </w:r>
      <w:r>
        <w:rPr>
          <w:spacing w:val="-2"/>
        </w:rPr>
        <w:t> </w:t>
      </w:r>
      <w:r>
        <w:rPr/>
        <w:t>total</w:t>
      </w:r>
      <w:r>
        <w:rPr>
          <w:spacing w:val="-3"/>
        </w:rPr>
        <w:t> </w:t>
      </w:r>
      <w:r>
        <w:rPr/>
        <w:t>assets,</w:t>
      </w:r>
      <w:r>
        <w:rPr>
          <w:spacing w:val="-3"/>
        </w:rPr>
        <w:t> </w:t>
      </w:r>
      <w:r>
        <w:rPr/>
        <w:t>but</w:t>
      </w:r>
      <w:r>
        <w:rPr>
          <w:spacing w:val="-3"/>
        </w:rPr>
        <w:t> </w:t>
      </w:r>
      <w:r>
        <w:rPr/>
        <w:t>the</w:t>
      </w:r>
      <w:r>
        <w:rPr>
          <w:spacing w:val="-4"/>
        </w:rPr>
        <w:t> </w:t>
      </w:r>
      <w:r>
        <w:rPr/>
        <w:t>large</w:t>
      </w:r>
      <w:r>
        <w:rPr>
          <w:spacing w:val="-4"/>
        </w:rPr>
        <w:t> </w:t>
      </w:r>
      <w:r>
        <w:rPr/>
        <w:t>standard</w:t>
      </w:r>
      <w:r>
        <w:rPr>
          <w:spacing w:val="-2"/>
        </w:rPr>
        <w:t> </w:t>
      </w:r>
      <w:r>
        <w:rPr/>
        <w:t>deviation</w:t>
      </w:r>
      <w:r>
        <w:rPr>
          <w:spacing w:val="-2"/>
        </w:rPr>
        <w:t> </w:t>
      </w:r>
      <w:r>
        <w:rPr/>
        <w:t>(₦12.7</w:t>
      </w:r>
      <w:r>
        <w:rPr>
          <w:spacing w:val="-2"/>
        </w:rPr>
        <w:t> </w:t>
      </w:r>
      <w:r>
        <w:rPr/>
        <w:t>million)</w:t>
      </w:r>
      <w:r>
        <w:rPr>
          <w:spacing w:val="-3"/>
        </w:rPr>
        <w:t> </w:t>
      </w:r>
      <w:r>
        <w:rPr/>
        <w:t>and</w:t>
      </w:r>
      <w:r>
        <w:rPr>
          <w:spacing w:val="-2"/>
        </w:rPr>
        <w:t> </w:t>
      </w:r>
      <w:r>
        <w:rPr/>
        <w:t>maximum</w:t>
      </w:r>
      <w:r>
        <w:rPr>
          <w:spacing w:val="-4"/>
        </w:rPr>
        <w:t> </w:t>
      </w:r>
      <w:r>
        <w:rPr/>
        <w:t>of</w:t>
      </w:r>
      <w:r>
        <w:rPr>
          <w:spacing w:val="-3"/>
        </w:rPr>
        <w:t> </w:t>
      </w:r>
      <w:r>
        <w:rPr/>
        <w:t>₦49.1 million</w:t>
      </w:r>
      <w:r>
        <w:rPr>
          <w:spacing w:val="-1"/>
        </w:rPr>
        <w:t> </w:t>
      </w:r>
      <w:r>
        <w:rPr/>
        <w:t>show vast</w:t>
      </w:r>
      <w:r>
        <w:rPr>
          <w:spacing w:val="-2"/>
        </w:rPr>
        <w:t> </w:t>
      </w:r>
      <w:r>
        <w:rPr/>
        <w:t>differences across</w:t>
      </w:r>
      <w:r>
        <w:rPr>
          <w:spacing w:val="-1"/>
        </w:rPr>
        <w:t> </w:t>
      </w:r>
      <w:r>
        <w:rPr/>
        <w:t>firms. The positive skew (1.29) and</w:t>
      </w:r>
      <w:r>
        <w:rPr>
          <w:spacing w:val="-1"/>
        </w:rPr>
        <w:t> </w:t>
      </w:r>
      <w:r>
        <w:rPr/>
        <w:t>kurtosis (3.75) confirm</w:t>
      </w:r>
      <w:r>
        <w:rPr>
          <w:spacing w:val="-2"/>
        </w:rPr>
        <w:t> </w:t>
      </w:r>
      <w:r>
        <w:rPr/>
        <w:t>uneven distribution,</w:t>
      </w:r>
      <w:r>
        <w:rPr>
          <w:spacing w:val="-1"/>
        </w:rPr>
        <w:t> </w:t>
      </w:r>
      <w:r>
        <w:rPr/>
        <w:t>with</w:t>
      </w:r>
      <w:r>
        <w:rPr>
          <w:spacing w:val="-1"/>
        </w:rPr>
        <w:t> </w:t>
      </w:r>
      <w:r>
        <w:rPr/>
        <w:t>a few very</w:t>
      </w:r>
      <w:r>
        <w:rPr>
          <w:spacing w:val="-1"/>
        </w:rPr>
        <w:t> </w:t>
      </w:r>
      <w:r>
        <w:rPr/>
        <w:t>large firms dominating the industry.</w:t>
      </w:r>
    </w:p>
    <w:p>
      <w:pPr>
        <w:pStyle w:val="BodyText"/>
        <w:spacing w:before="60"/>
        <w:ind w:right="367"/>
      </w:pPr>
      <w:r>
        <w:rPr/>
        <w:t>Finally, the average </w:t>
      </w:r>
      <w:r>
        <w:rPr>
          <w:b/>
        </w:rPr>
        <w:t>firm age (AGE) </w:t>
      </w:r>
      <w:r>
        <w:rPr/>
        <w:t>is 36 years, ranging from 5 to 59 years. The negative skewness (–0.73) suggests relatively more mature firms, while kurtosis (2.49) indicates a near-normal distribution.</w:t>
      </w:r>
    </w:p>
    <w:p>
      <w:pPr>
        <w:pStyle w:val="BodyText"/>
        <w:spacing w:before="59"/>
        <w:ind w:right="365"/>
      </w:pPr>
      <w:r>
        <w:rPr/>
        <w:t>Overall, the results highlight significant heterogeneity in firm characteristics, with extreme values in share prices, profitability, and capital expenditures. This suggests the industry is composed</w:t>
      </w:r>
      <w:r>
        <w:rPr>
          <w:spacing w:val="-1"/>
        </w:rPr>
        <w:t> </w:t>
      </w:r>
      <w:r>
        <w:rPr/>
        <w:t>of both small, struggling firms and</w:t>
      </w:r>
      <w:r>
        <w:rPr>
          <w:spacing w:val="-1"/>
        </w:rPr>
        <w:t> </w:t>
      </w:r>
      <w:r>
        <w:rPr/>
        <w:t>large, well-established players with strong financial performance.</w:t>
      </w:r>
    </w:p>
    <w:p>
      <w:pPr>
        <w:spacing w:before="101" w:after="41"/>
        <w:ind w:left="369" w:right="0" w:firstLine="0"/>
        <w:jc w:val="both"/>
        <w:rPr>
          <w:sz w:val="17"/>
        </w:rPr>
      </w:pPr>
      <w:r>
        <w:rPr>
          <w:b/>
          <w:sz w:val="17"/>
        </w:rPr>
        <w:t>Table</w:t>
      </w:r>
      <w:r>
        <w:rPr>
          <w:b/>
          <w:spacing w:val="-5"/>
          <w:sz w:val="17"/>
        </w:rPr>
        <w:t> </w:t>
      </w:r>
      <w:r>
        <w:rPr>
          <w:b/>
          <w:sz w:val="17"/>
        </w:rPr>
        <w:t>2:</w:t>
      </w:r>
      <w:r>
        <w:rPr>
          <w:b/>
          <w:spacing w:val="-3"/>
          <w:sz w:val="17"/>
        </w:rPr>
        <w:t> </w:t>
      </w:r>
      <w:r>
        <w:rPr>
          <w:sz w:val="17"/>
        </w:rPr>
        <w:t>Correlation</w:t>
      </w:r>
      <w:r>
        <w:rPr>
          <w:spacing w:val="-3"/>
          <w:sz w:val="17"/>
        </w:rPr>
        <w:t> </w:t>
      </w:r>
      <w:r>
        <w:rPr>
          <w:sz w:val="17"/>
        </w:rPr>
        <w:t>Matrix</w:t>
      </w:r>
      <w:r>
        <w:rPr>
          <w:spacing w:val="-5"/>
          <w:sz w:val="17"/>
        </w:rPr>
        <w:t> </w:t>
      </w:r>
      <w:r>
        <w:rPr>
          <w:sz w:val="17"/>
        </w:rPr>
        <w:t>of</w:t>
      </w:r>
      <w:r>
        <w:rPr>
          <w:spacing w:val="-3"/>
          <w:sz w:val="17"/>
        </w:rPr>
        <w:t> </w:t>
      </w:r>
      <w:r>
        <w:rPr>
          <w:sz w:val="17"/>
        </w:rPr>
        <w:t>Dependent</w:t>
      </w:r>
      <w:r>
        <w:rPr>
          <w:spacing w:val="-5"/>
          <w:sz w:val="17"/>
        </w:rPr>
        <w:t> </w:t>
      </w:r>
      <w:r>
        <w:rPr>
          <w:sz w:val="17"/>
        </w:rPr>
        <w:t>and</w:t>
      </w:r>
      <w:r>
        <w:rPr>
          <w:spacing w:val="-4"/>
          <w:sz w:val="17"/>
        </w:rPr>
        <w:t> </w:t>
      </w:r>
      <w:r>
        <w:rPr>
          <w:sz w:val="17"/>
        </w:rPr>
        <w:t>Explanatory</w:t>
      </w:r>
      <w:r>
        <w:rPr>
          <w:spacing w:val="-4"/>
          <w:sz w:val="17"/>
        </w:rPr>
        <w:t> </w:t>
      </w:r>
      <w:r>
        <w:rPr>
          <w:spacing w:val="-2"/>
          <w:sz w:val="17"/>
        </w:rPr>
        <w:t>Variables</w:t>
      </w:r>
    </w:p>
    <w:tbl>
      <w:tblPr>
        <w:tblW w:w="0" w:type="auto"/>
        <w:jc w:val="left"/>
        <w:tblInd w:w="946" w:type="dxa"/>
        <w:tblBorders>
          <w:top w:val="single" w:sz="4" w:space="0" w:color="8D8D8D"/>
          <w:left w:val="single" w:sz="4" w:space="0" w:color="8D8D8D"/>
          <w:bottom w:val="single" w:sz="4" w:space="0" w:color="8D8D8D"/>
          <w:right w:val="single" w:sz="4" w:space="0" w:color="8D8D8D"/>
          <w:insideH w:val="single" w:sz="4" w:space="0" w:color="8D8D8D"/>
          <w:insideV w:val="single" w:sz="4" w:space="0" w:color="8D8D8D"/>
        </w:tblBorders>
        <w:tblLayout w:type="fixed"/>
        <w:tblCellMar>
          <w:top w:w="0" w:type="dxa"/>
          <w:left w:w="0" w:type="dxa"/>
          <w:bottom w:w="0" w:type="dxa"/>
          <w:right w:w="0" w:type="dxa"/>
        </w:tblCellMar>
        <w:tblLook w:val="01E0"/>
      </w:tblPr>
      <w:tblGrid>
        <w:gridCol w:w="1181"/>
        <w:gridCol w:w="963"/>
        <w:gridCol w:w="965"/>
        <w:gridCol w:w="965"/>
        <w:gridCol w:w="963"/>
        <w:gridCol w:w="965"/>
        <w:gridCol w:w="966"/>
        <w:gridCol w:w="963"/>
        <w:gridCol w:w="965"/>
      </w:tblGrid>
      <w:tr>
        <w:trPr>
          <w:trHeight w:val="208" w:hRule="atLeast"/>
        </w:trPr>
        <w:tc>
          <w:tcPr>
            <w:tcW w:w="1181" w:type="dxa"/>
            <w:shd w:val="clear" w:color="auto" w:fill="E7E7E7"/>
          </w:tcPr>
          <w:p>
            <w:pPr>
              <w:pStyle w:val="TableParagraph"/>
              <w:spacing w:before="31"/>
              <w:ind w:left="35"/>
              <w:jc w:val="left"/>
              <w:rPr>
                <w:b/>
                <w:sz w:val="12"/>
              </w:rPr>
            </w:pPr>
            <w:r>
              <w:rPr>
                <w:b/>
                <w:spacing w:val="-2"/>
                <w:sz w:val="12"/>
              </w:rPr>
              <w:t>Variables</w:t>
            </w:r>
          </w:p>
        </w:tc>
        <w:tc>
          <w:tcPr>
            <w:tcW w:w="963" w:type="dxa"/>
            <w:shd w:val="clear" w:color="auto" w:fill="E7E7E7"/>
          </w:tcPr>
          <w:p>
            <w:pPr>
              <w:pStyle w:val="TableParagraph"/>
              <w:spacing w:before="31"/>
              <w:ind w:right="397"/>
              <w:jc w:val="right"/>
              <w:rPr>
                <w:b/>
                <w:sz w:val="12"/>
              </w:rPr>
            </w:pPr>
            <w:r>
              <w:rPr>
                <w:b/>
                <w:spacing w:val="-5"/>
                <w:sz w:val="12"/>
              </w:rPr>
              <w:t>SP</w:t>
            </w:r>
          </w:p>
        </w:tc>
        <w:tc>
          <w:tcPr>
            <w:tcW w:w="965" w:type="dxa"/>
            <w:shd w:val="clear" w:color="auto" w:fill="E7E7E7"/>
          </w:tcPr>
          <w:p>
            <w:pPr>
              <w:pStyle w:val="TableParagraph"/>
              <w:spacing w:before="31"/>
              <w:ind w:right="361"/>
              <w:jc w:val="right"/>
              <w:rPr>
                <w:b/>
                <w:sz w:val="12"/>
              </w:rPr>
            </w:pPr>
            <w:r>
              <w:rPr>
                <w:b/>
                <w:spacing w:val="-5"/>
                <w:sz w:val="12"/>
              </w:rPr>
              <w:t>EPS</w:t>
            </w:r>
          </w:p>
        </w:tc>
        <w:tc>
          <w:tcPr>
            <w:tcW w:w="965" w:type="dxa"/>
            <w:shd w:val="clear" w:color="auto" w:fill="E7E7E7"/>
          </w:tcPr>
          <w:p>
            <w:pPr>
              <w:pStyle w:val="TableParagraph"/>
              <w:spacing w:before="31"/>
              <w:ind w:left="9" w:right="2"/>
              <w:rPr>
                <w:b/>
                <w:sz w:val="12"/>
              </w:rPr>
            </w:pPr>
            <w:r>
              <w:rPr>
                <w:b/>
                <w:spacing w:val="-4"/>
                <w:sz w:val="12"/>
              </w:rPr>
              <w:t>BVPS</w:t>
            </w:r>
          </w:p>
        </w:tc>
        <w:tc>
          <w:tcPr>
            <w:tcW w:w="963" w:type="dxa"/>
            <w:shd w:val="clear" w:color="auto" w:fill="E7E7E7"/>
          </w:tcPr>
          <w:p>
            <w:pPr>
              <w:pStyle w:val="TableParagraph"/>
              <w:spacing w:before="31"/>
              <w:ind w:left="12" w:right="3"/>
              <w:rPr>
                <w:b/>
                <w:sz w:val="12"/>
              </w:rPr>
            </w:pPr>
            <w:r>
              <w:rPr>
                <w:b/>
                <w:spacing w:val="-5"/>
                <w:sz w:val="12"/>
              </w:rPr>
              <w:t>FCF</w:t>
            </w:r>
          </w:p>
        </w:tc>
        <w:tc>
          <w:tcPr>
            <w:tcW w:w="965" w:type="dxa"/>
            <w:shd w:val="clear" w:color="auto" w:fill="E7E7E7"/>
          </w:tcPr>
          <w:p>
            <w:pPr>
              <w:pStyle w:val="TableParagraph"/>
              <w:spacing w:before="31"/>
              <w:ind w:left="9" w:right="4"/>
              <w:rPr>
                <w:b/>
                <w:sz w:val="12"/>
              </w:rPr>
            </w:pPr>
            <w:r>
              <w:rPr>
                <w:b/>
                <w:spacing w:val="-5"/>
                <w:sz w:val="12"/>
              </w:rPr>
              <w:t>CER</w:t>
            </w:r>
          </w:p>
        </w:tc>
        <w:tc>
          <w:tcPr>
            <w:tcW w:w="966" w:type="dxa"/>
            <w:shd w:val="clear" w:color="auto" w:fill="E7E7E7"/>
          </w:tcPr>
          <w:p>
            <w:pPr>
              <w:pStyle w:val="TableParagraph"/>
              <w:spacing w:before="31"/>
              <w:ind w:left="310"/>
              <w:jc w:val="left"/>
              <w:rPr>
                <w:b/>
                <w:sz w:val="12"/>
              </w:rPr>
            </w:pPr>
            <w:r>
              <w:rPr>
                <w:b/>
                <w:spacing w:val="-4"/>
                <w:sz w:val="12"/>
              </w:rPr>
              <w:t>OCFR</w:t>
            </w:r>
          </w:p>
        </w:tc>
        <w:tc>
          <w:tcPr>
            <w:tcW w:w="963" w:type="dxa"/>
            <w:shd w:val="clear" w:color="auto" w:fill="E7E7E7"/>
          </w:tcPr>
          <w:p>
            <w:pPr>
              <w:pStyle w:val="TableParagraph"/>
              <w:spacing w:before="31"/>
              <w:ind w:left="12" w:right="6"/>
              <w:rPr>
                <w:b/>
                <w:sz w:val="12"/>
              </w:rPr>
            </w:pPr>
            <w:r>
              <w:rPr>
                <w:b/>
                <w:spacing w:val="-4"/>
                <w:sz w:val="12"/>
              </w:rPr>
              <w:t>SIZE</w:t>
            </w:r>
          </w:p>
        </w:tc>
        <w:tc>
          <w:tcPr>
            <w:tcW w:w="965" w:type="dxa"/>
            <w:shd w:val="clear" w:color="auto" w:fill="E7E7E7"/>
          </w:tcPr>
          <w:p>
            <w:pPr>
              <w:pStyle w:val="TableParagraph"/>
              <w:spacing w:before="31"/>
              <w:ind w:left="9" w:right="4"/>
              <w:rPr>
                <w:b/>
                <w:sz w:val="12"/>
              </w:rPr>
            </w:pPr>
            <w:r>
              <w:rPr>
                <w:b/>
                <w:spacing w:val="-5"/>
                <w:sz w:val="12"/>
              </w:rPr>
              <w:t>AGE</w:t>
            </w:r>
          </w:p>
        </w:tc>
      </w:tr>
      <w:tr>
        <w:trPr>
          <w:trHeight w:val="275" w:hRule="atLeast"/>
        </w:trPr>
        <w:tc>
          <w:tcPr>
            <w:tcW w:w="1181" w:type="dxa"/>
          </w:tcPr>
          <w:p>
            <w:pPr>
              <w:pStyle w:val="TableParagraph"/>
              <w:spacing w:before="68"/>
              <w:ind w:left="35"/>
              <w:jc w:val="left"/>
              <w:rPr>
                <w:sz w:val="12"/>
              </w:rPr>
            </w:pPr>
            <w:r>
              <w:rPr>
                <w:spacing w:val="-5"/>
                <w:sz w:val="12"/>
              </w:rPr>
              <w:t>SP</w:t>
            </w:r>
          </w:p>
        </w:tc>
        <w:tc>
          <w:tcPr>
            <w:tcW w:w="963" w:type="dxa"/>
          </w:tcPr>
          <w:p>
            <w:pPr>
              <w:pStyle w:val="TableParagraph"/>
              <w:spacing w:before="68"/>
              <w:ind w:right="334"/>
              <w:jc w:val="right"/>
              <w:rPr>
                <w:sz w:val="12"/>
              </w:rPr>
            </w:pPr>
            <w:r>
              <w:rPr>
                <w:spacing w:val="-2"/>
                <w:sz w:val="12"/>
              </w:rPr>
              <w:t>1.000</w:t>
            </w:r>
          </w:p>
        </w:tc>
        <w:tc>
          <w:tcPr>
            <w:tcW w:w="965" w:type="dxa"/>
          </w:tcPr>
          <w:p>
            <w:pPr>
              <w:pStyle w:val="TableParagraph"/>
              <w:spacing w:before="0"/>
              <w:jc w:val="left"/>
              <w:rPr>
                <w:sz w:val="16"/>
              </w:rPr>
            </w:pPr>
          </w:p>
        </w:tc>
        <w:tc>
          <w:tcPr>
            <w:tcW w:w="965"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8" w:hRule="atLeast"/>
        </w:trPr>
        <w:tc>
          <w:tcPr>
            <w:tcW w:w="1181" w:type="dxa"/>
          </w:tcPr>
          <w:p>
            <w:pPr>
              <w:pStyle w:val="TableParagraph"/>
              <w:spacing w:before="67"/>
              <w:ind w:left="35"/>
              <w:jc w:val="left"/>
              <w:rPr>
                <w:sz w:val="12"/>
              </w:rPr>
            </w:pPr>
            <w:r>
              <w:rPr>
                <w:spacing w:val="-5"/>
                <w:sz w:val="12"/>
              </w:rPr>
              <w:t>EPS</w:t>
            </w:r>
          </w:p>
        </w:tc>
        <w:tc>
          <w:tcPr>
            <w:tcW w:w="963" w:type="dxa"/>
          </w:tcPr>
          <w:p>
            <w:pPr>
              <w:pStyle w:val="TableParagraph"/>
              <w:spacing w:before="67"/>
              <w:ind w:right="303"/>
              <w:jc w:val="right"/>
              <w:rPr>
                <w:sz w:val="12"/>
              </w:rPr>
            </w:pPr>
            <w:r>
              <w:rPr>
                <w:spacing w:val="-2"/>
                <w:sz w:val="12"/>
              </w:rPr>
              <w:t>0.741*</w:t>
            </w:r>
          </w:p>
        </w:tc>
        <w:tc>
          <w:tcPr>
            <w:tcW w:w="965" w:type="dxa"/>
          </w:tcPr>
          <w:p>
            <w:pPr>
              <w:pStyle w:val="TableParagraph"/>
              <w:spacing w:before="67"/>
              <w:ind w:right="336"/>
              <w:jc w:val="right"/>
              <w:rPr>
                <w:sz w:val="12"/>
              </w:rPr>
            </w:pPr>
            <w:r>
              <w:rPr>
                <w:spacing w:val="-2"/>
                <w:sz w:val="12"/>
              </w:rPr>
              <w:t>1.000</w:t>
            </w:r>
          </w:p>
        </w:tc>
        <w:tc>
          <w:tcPr>
            <w:tcW w:w="965"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5" w:hRule="atLeast"/>
        </w:trPr>
        <w:tc>
          <w:tcPr>
            <w:tcW w:w="1181" w:type="dxa"/>
          </w:tcPr>
          <w:p>
            <w:pPr>
              <w:pStyle w:val="TableParagraph"/>
              <w:spacing w:before="0"/>
              <w:jc w:val="left"/>
              <w:rPr>
                <w:sz w:val="16"/>
              </w:rPr>
            </w:pPr>
          </w:p>
        </w:tc>
        <w:tc>
          <w:tcPr>
            <w:tcW w:w="963" w:type="dxa"/>
          </w:tcPr>
          <w:p>
            <w:pPr>
              <w:pStyle w:val="TableParagraph"/>
              <w:spacing w:before="67"/>
              <w:ind w:right="323"/>
              <w:jc w:val="right"/>
              <w:rPr>
                <w:sz w:val="12"/>
              </w:rPr>
            </w:pPr>
            <w:r>
              <w:rPr>
                <w:spacing w:val="-2"/>
                <w:sz w:val="12"/>
              </w:rPr>
              <w:t>(0.00)</w:t>
            </w:r>
          </w:p>
        </w:tc>
        <w:tc>
          <w:tcPr>
            <w:tcW w:w="965" w:type="dxa"/>
          </w:tcPr>
          <w:p>
            <w:pPr>
              <w:pStyle w:val="TableParagraph"/>
              <w:spacing w:before="0"/>
              <w:jc w:val="left"/>
              <w:rPr>
                <w:sz w:val="16"/>
              </w:rPr>
            </w:pPr>
          </w:p>
        </w:tc>
        <w:tc>
          <w:tcPr>
            <w:tcW w:w="965"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7" w:hRule="atLeast"/>
        </w:trPr>
        <w:tc>
          <w:tcPr>
            <w:tcW w:w="1181" w:type="dxa"/>
          </w:tcPr>
          <w:p>
            <w:pPr>
              <w:pStyle w:val="TableParagraph"/>
              <w:spacing w:before="67"/>
              <w:ind w:left="35"/>
              <w:jc w:val="left"/>
              <w:rPr>
                <w:sz w:val="12"/>
              </w:rPr>
            </w:pPr>
            <w:r>
              <w:rPr>
                <w:spacing w:val="-4"/>
                <w:sz w:val="12"/>
              </w:rPr>
              <w:t>BVPS</w:t>
            </w:r>
          </w:p>
        </w:tc>
        <w:tc>
          <w:tcPr>
            <w:tcW w:w="963" w:type="dxa"/>
          </w:tcPr>
          <w:p>
            <w:pPr>
              <w:pStyle w:val="TableParagraph"/>
              <w:spacing w:before="67"/>
              <w:ind w:right="303"/>
              <w:jc w:val="right"/>
              <w:rPr>
                <w:sz w:val="12"/>
              </w:rPr>
            </w:pPr>
            <w:r>
              <w:rPr>
                <w:spacing w:val="-2"/>
                <w:sz w:val="12"/>
              </w:rPr>
              <w:t>0.638*</w:t>
            </w:r>
          </w:p>
        </w:tc>
        <w:tc>
          <w:tcPr>
            <w:tcW w:w="965" w:type="dxa"/>
          </w:tcPr>
          <w:p>
            <w:pPr>
              <w:pStyle w:val="TableParagraph"/>
              <w:spacing w:before="67"/>
              <w:ind w:right="305"/>
              <w:jc w:val="right"/>
              <w:rPr>
                <w:sz w:val="12"/>
              </w:rPr>
            </w:pPr>
            <w:r>
              <w:rPr>
                <w:spacing w:val="-2"/>
                <w:sz w:val="12"/>
              </w:rPr>
              <w:t>0.469*</w:t>
            </w:r>
          </w:p>
        </w:tc>
        <w:tc>
          <w:tcPr>
            <w:tcW w:w="965" w:type="dxa"/>
          </w:tcPr>
          <w:p>
            <w:pPr>
              <w:pStyle w:val="TableParagraph"/>
              <w:spacing w:before="67"/>
              <w:ind w:left="9" w:right="4"/>
              <w:rPr>
                <w:sz w:val="12"/>
              </w:rPr>
            </w:pPr>
            <w:r>
              <w:rPr>
                <w:spacing w:val="-2"/>
                <w:sz w:val="12"/>
              </w:rPr>
              <w:t>1.000</w:t>
            </w: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5" w:hRule="atLeast"/>
        </w:trPr>
        <w:tc>
          <w:tcPr>
            <w:tcW w:w="1181" w:type="dxa"/>
          </w:tcPr>
          <w:p>
            <w:pPr>
              <w:pStyle w:val="TableParagraph"/>
              <w:spacing w:before="0"/>
              <w:jc w:val="left"/>
              <w:rPr>
                <w:sz w:val="16"/>
              </w:rPr>
            </w:pPr>
          </w:p>
        </w:tc>
        <w:tc>
          <w:tcPr>
            <w:tcW w:w="963" w:type="dxa"/>
          </w:tcPr>
          <w:p>
            <w:pPr>
              <w:pStyle w:val="TableParagraph"/>
              <w:spacing w:before="67"/>
              <w:ind w:right="292"/>
              <w:jc w:val="right"/>
              <w:rPr>
                <w:sz w:val="12"/>
              </w:rPr>
            </w:pPr>
            <w:r>
              <w:rPr>
                <w:spacing w:val="-2"/>
                <w:sz w:val="12"/>
              </w:rPr>
              <w:t>(0.000)</w:t>
            </w:r>
          </w:p>
        </w:tc>
        <w:tc>
          <w:tcPr>
            <w:tcW w:w="965" w:type="dxa"/>
          </w:tcPr>
          <w:p>
            <w:pPr>
              <w:pStyle w:val="TableParagraph"/>
              <w:spacing w:before="67"/>
              <w:ind w:right="294"/>
              <w:jc w:val="right"/>
              <w:rPr>
                <w:sz w:val="12"/>
              </w:rPr>
            </w:pPr>
            <w:r>
              <w:rPr>
                <w:spacing w:val="-2"/>
                <w:sz w:val="12"/>
              </w:rPr>
              <w:t>(0.000)</w:t>
            </w:r>
          </w:p>
        </w:tc>
        <w:tc>
          <w:tcPr>
            <w:tcW w:w="965"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7" w:hRule="atLeast"/>
        </w:trPr>
        <w:tc>
          <w:tcPr>
            <w:tcW w:w="1181" w:type="dxa"/>
          </w:tcPr>
          <w:p>
            <w:pPr>
              <w:pStyle w:val="TableParagraph"/>
              <w:spacing w:before="70"/>
              <w:ind w:left="35"/>
              <w:jc w:val="left"/>
              <w:rPr>
                <w:sz w:val="12"/>
              </w:rPr>
            </w:pPr>
            <w:r>
              <w:rPr>
                <w:spacing w:val="-5"/>
                <w:sz w:val="12"/>
              </w:rPr>
              <w:t>FCF</w:t>
            </w:r>
          </w:p>
        </w:tc>
        <w:tc>
          <w:tcPr>
            <w:tcW w:w="963" w:type="dxa"/>
          </w:tcPr>
          <w:p>
            <w:pPr>
              <w:pStyle w:val="TableParagraph"/>
              <w:spacing w:before="70"/>
              <w:ind w:right="303"/>
              <w:jc w:val="right"/>
              <w:rPr>
                <w:sz w:val="12"/>
              </w:rPr>
            </w:pPr>
            <w:r>
              <w:rPr>
                <w:spacing w:val="-2"/>
                <w:sz w:val="12"/>
              </w:rPr>
              <w:t>0.265*</w:t>
            </w:r>
          </w:p>
        </w:tc>
        <w:tc>
          <w:tcPr>
            <w:tcW w:w="965" w:type="dxa"/>
          </w:tcPr>
          <w:p>
            <w:pPr>
              <w:pStyle w:val="TableParagraph"/>
              <w:spacing w:before="70"/>
              <w:ind w:right="336"/>
              <w:jc w:val="right"/>
              <w:rPr>
                <w:sz w:val="12"/>
              </w:rPr>
            </w:pPr>
            <w:r>
              <w:rPr>
                <w:spacing w:val="-2"/>
                <w:sz w:val="12"/>
              </w:rPr>
              <w:t>0.141</w:t>
            </w:r>
          </w:p>
        </w:tc>
        <w:tc>
          <w:tcPr>
            <w:tcW w:w="965" w:type="dxa"/>
          </w:tcPr>
          <w:p>
            <w:pPr>
              <w:pStyle w:val="TableParagraph"/>
              <w:spacing w:before="70"/>
              <w:ind w:left="9" w:right="4"/>
              <w:rPr>
                <w:sz w:val="12"/>
              </w:rPr>
            </w:pPr>
            <w:r>
              <w:rPr>
                <w:spacing w:val="-2"/>
                <w:sz w:val="12"/>
              </w:rPr>
              <w:t>0.073</w:t>
            </w:r>
          </w:p>
        </w:tc>
        <w:tc>
          <w:tcPr>
            <w:tcW w:w="963" w:type="dxa"/>
          </w:tcPr>
          <w:p>
            <w:pPr>
              <w:pStyle w:val="TableParagraph"/>
              <w:spacing w:before="70"/>
              <w:ind w:left="12" w:right="4"/>
              <w:rPr>
                <w:sz w:val="12"/>
              </w:rPr>
            </w:pPr>
            <w:r>
              <w:rPr>
                <w:spacing w:val="-2"/>
                <w:sz w:val="12"/>
              </w:rPr>
              <w:t>1.000</w:t>
            </w: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bl>
    <w:p>
      <w:pPr>
        <w:pStyle w:val="TableParagraph"/>
        <w:spacing w:after="0"/>
        <w:jc w:val="left"/>
        <w:rPr>
          <w:sz w:val="16"/>
        </w:rPr>
        <w:sectPr>
          <w:pgSz w:w="11910" w:h="16840"/>
          <w:pgMar w:header="474" w:footer="301" w:top="700" w:bottom="500" w:left="566" w:right="566"/>
        </w:sectPr>
      </w:pPr>
    </w:p>
    <w:p>
      <w:pPr>
        <w:pStyle w:val="BodyText"/>
        <w:spacing w:before="8"/>
        <w:ind w:left="0" w:firstLine="0"/>
        <w:jc w:val="left"/>
        <w:rPr>
          <w:sz w:val="16"/>
        </w:rPr>
      </w:pPr>
    </w:p>
    <w:tbl>
      <w:tblPr>
        <w:tblW w:w="0" w:type="auto"/>
        <w:jc w:val="left"/>
        <w:tblInd w:w="946" w:type="dxa"/>
        <w:tblBorders>
          <w:top w:val="single" w:sz="4" w:space="0" w:color="8D8D8D"/>
          <w:left w:val="single" w:sz="4" w:space="0" w:color="8D8D8D"/>
          <w:bottom w:val="single" w:sz="4" w:space="0" w:color="8D8D8D"/>
          <w:right w:val="single" w:sz="4" w:space="0" w:color="8D8D8D"/>
          <w:insideH w:val="single" w:sz="4" w:space="0" w:color="8D8D8D"/>
          <w:insideV w:val="single" w:sz="4" w:space="0" w:color="8D8D8D"/>
        </w:tblBorders>
        <w:tblLayout w:type="fixed"/>
        <w:tblCellMar>
          <w:top w:w="0" w:type="dxa"/>
          <w:left w:w="0" w:type="dxa"/>
          <w:bottom w:w="0" w:type="dxa"/>
          <w:right w:w="0" w:type="dxa"/>
        </w:tblCellMar>
        <w:tblLook w:val="01E0"/>
      </w:tblPr>
      <w:tblGrid>
        <w:gridCol w:w="1181"/>
        <w:gridCol w:w="963"/>
        <w:gridCol w:w="965"/>
        <w:gridCol w:w="965"/>
        <w:gridCol w:w="963"/>
        <w:gridCol w:w="965"/>
        <w:gridCol w:w="966"/>
        <w:gridCol w:w="963"/>
        <w:gridCol w:w="965"/>
      </w:tblGrid>
      <w:tr>
        <w:trPr>
          <w:trHeight w:val="208" w:hRule="atLeast"/>
        </w:trPr>
        <w:tc>
          <w:tcPr>
            <w:tcW w:w="1181" w:type="dxa"/>
            <w:shd w:val="clear" w:color="auto" w:fill="E7E7E7"/>
          </w:tcPr>
          <w:p>
            <w:pPr>
              <w:pStyle w:val="TableParagraph"/>
              <w:ind w:left="35"/>
              <w:jc w:val="left"/>
              <w:rPr>
                <w:b/>
                <w:sz w:val="12"/>
              </w:rPr>
            </w:pPr>
            <w:r>
              <w:rPr>
                <w:b/>
                <w:spacing w:val="-2"/>
                <w:sz w:val="12"/>
              </w:rPr>
              <w:t>Variables</w:t>
            </w:r>
          </w:p>
        </w:tc>
        <w:tc>
          <w:tcPr>
            <w:tcW w:w="963" w:type="dxa"/>
            <w:shd w:val="clear" w:color="auto" w:fill="E7E7E7"/>
          </w:tcPr>
          <w:p>
            <w:pPr>
              <w:pStyle w:val="TableParagraph"/>
              <w:ind w:right="397"/>
              <w:jc w:val="right"/>
              <w:rPr>
                <w:b/>
                <w:sz w:val="12"/>
              </w:rPr>
            </w:pPr>
            <w:r>
              <w:rPr>
                <w:b/>
                <w:spacing w:val="-5"/>
                <w:sz w:val="12"/>
              </w:rPr>
              <w:t>SP</w:t>
            </w:r>
          </w:p>
        </w:tc>
        <w:tc>
          <w:tcPr>
            <w:tcW w:w="965" w:type="dxa"/>
            <w:shd w:val="clear" w:color="auto" w:fill="E7E7E7"/>
          </w:tcPr>
          <w:p>
            <w:pPr>
              <w:pStyle w:val="TableParagraph"/>
              <w:ind w:right="361"/>
              <w:jc w:val="right"/>
              <w:rPr>
                <w:b/>
                <w:sz w:val="12"/>
              </w:rPr>
            </w:pPr>
            <w:r>
              <w:rPr>
                <w:b/>
                <w:spacing w:val="-5"/>
                <w:sz w:val="12"/>
              </w:rPr>
              <w:t>EPS</w:t>
            </w:r>
          </w:p>
        </w:tc>
        <w:tc>
          <w:tcPr>
            <w:tcW w:w="965" w:type="dxa"/>
            <w:shd w:val="clear" w:color="auto" w:fill="E7E7E7"/>
          </w:tcPr>
          <w:p>
            <w:pPr>
              <w:pStyle w:val="TableParagraph"/>
              <w:ind w:left="9" w:right="2"/>
              <w:rPr>
                <w:b/>
                <w:sz w:val="12"/>
              </w:rPr>
            </w:pPr>
            <w:r>
              <w:rPr>
                <w:b/>
                <w:spacing w:val="-4"/>
                <w:sz w:val="12"/>
              </w:rPr>
              <w:t>BVPS</w:t>
            </w:r>
          </w:p>
        </w:tc>
        <w:tc>
          <w:tcPr>
            <w:tcW w:w="963" w:type="dxa"/>
            <w:shd w:val="clear" w:color="auto" w:fill="E7E7E7"/>
          </w:tcPr>
          <w:p>
            <w:pPr>
              <w:pStyle w:val="TableParagraph"/>
              <w:ind w:left="12" w:right="3"/>
              <w:rPr>
                <w:b/>
                <w:sz w:val="12"/>
              </w:rPr>
            </w:pPr>
            <w:r>
              <w:rPr>
                <w:b/>
                <w:spacing w:val="-5"/>
                <w:sz w:val="12"/>
              </w:rPr>
              <w:t>FCF</w:t>
            </w:r>
          </w:p>
        </w:tc>
        <w:tc>
          <w:tcPr>
            <w:tcW w:w="965" w:type="dxa"/>
            <w:shd w:val="clear" w:color="auto" w:fill="E7E7E7"/>
          </w:tcPr>
          <w:p>
            <w:pPr>
              <w:pStyle w:val="TableParagraph"/>
              <w:ind w:left="9" w:right="4"/>
              <w:rPr>
                <w:b/>
                <w:sz w:val="12"/>
              </w:rPr>
            </w:pPr>
            <w:r>
              <w:rPr>
                <w:b/>
                <w:spacing w:val="-5"/>
                <w:sz w:val="12"/>
              </w:rPr>
              <w:t>CER</w:t>
            </w:r>
          </w:p>
        </w:tc>
        <w:tc>
          <w:tcPr>
            <w:tcW w:w="966" w:type="dxa"/>
            <w:shd w:val="clear" w:color="auto" w:fill="E7E7E7"/>
          </w:tcPr>
          <w:p>
            <w:pPr>
              <w:pStyle w:val="TableParagraph"/>
              <w:ind w:left="7" w:right="1"/>
              <w:rPr>
                <w:b/>
                <w:sz w:val="12"/>
              </w:rPr>
            </w:pPr>
            <w:r>
              <w:rPr>
                <w:b/>
                <w:spacing w:val="-4"/>
                <w:sz w:val="12"/>
              </w:rPr>
              <w:t>OCFR</w:t>
            </w:r>
          </w:p>
        </w:tc>
        <w:tc>
          <w:tcPr>
            <w:tcW w:w="963" w:type="dxa"/>
            <w:shd w:val="clear" w:color="auto" w:fill="E7E7E7"/>
          </w:tcPr>
          <w:p>
            <w:pPr>
              <w:pStyle w:val="TableParagraph"/>
              <w:ind w:left="12" w:right="6"/>
              <w:rPr>
                <w:b/>
                <w:sz w:val="12"/>
              </w:rPr>
            </w:pPr>
            <w:r>
              <w:rPr>
                <w:b/>
                <w:spacing w:val="-4"/>
                <w:sz w:val="12"/>
              </w:rPr>
              <w:t>SIZE</w:t>
            </w:r>
          </w:p>
        </w:tc>
        <w:tc>
          <w:tcPr>
            <w:tcW w:w="965" w:type="dxa"/>
            <w:shd w:val="clear" w:color="auto" w:fill="E7E7E7"/>
          </w:tcPr>
          <w:p>
            <w:pPr>
              <w:pStyle w:val="TableParagraph"/>
              <w:ind w:left="9" w:right="4"/>
              <w:rPr>
                <w:b/>
                <w:sz w:val="12"/>
              </w:rPr>
            </w:pPr>
            <w:r>
              <w:rPr>
                <w:b/>
                <w:spacing w:val="-5"/>
                <w:sz w:val="12"/>
              </w:rPr>
              <w:t>AGE</w:t>
            </w:r>
          </w:p>
        </w:tc>
      </w:tr>
      <w:tr>
        <w:trPr>
          <w:trHeight w:val="275" w:hRule="atLeast"/>
        </w:trPr>
        <w:tc>
          <w:tcPr>
            <w:tcW w:w="1181" w:type="dxa"/>
          </w:tcPr>
          <w:p>
            <w:pPr>
              <w:pStyle w:val="TableParagraph"/>
              <w:spacing w:before="0"/>
              <w:jc w:val="left"/>
              <w:rPr>
                <w:sz w:val="16"/>
              </w:rPr>
            </w:pPr>
          </w:p>
        </w:tc>
        <w:tc>
          <w:tcPr>
            <w:tcW w:w="963" w:type="dxa"/>
          </w:tcPr>
          <w:p>
            <w:pPr>
              <w:pStyle w:val="TableParagraph"/>
              <w:spacing w:before="67"/>
              <w:ind w:right="292"/>
              <w:jc w:val="right"/>
              <w:rPr>
                <w:sz w:val="12"/>
              </w:rPr>
            </w:pPr>
            <w:r>
              <w:rPr>
                <w:spacing w:val="-2"/>
                <w:sz w:val="12"/>
              </w:rPr>
              <w:t>(0.001)</w:t>
            </w:r>
          </w:p>
        </w:tc>
        <w:tc>
          <w:tcPr>
            <w:tcW w:w="965" w:type="dxa"/>
          </w:tcPr>
          <w:p>
            <w:pPr>
              <w:pStyle w:val="TableParagraph"/>
              <w:spacing w:before="67"/>
              <w:ind w:right="294"/>
              <w:jc w:val="right"/>
              <w:rPr>
                <w:sz w:val="12"/>
              </w:rPr>
            </w:pPr>
            <w:r>
              <w:rPr>
                <w:spacing w:val="-2"/>
                <w:sz w:val="12"/>
              </w:rPr>
              <w:t>(0.076)</w:t>
            </w:r>
          </w:p>
        </w:tc>
        <w:tc>
          <w:tcPr>
            <w:tcW w:w="965" w:type="dxa"/>
          </w:tcPr>
          <w:p>
            <w:pPr>
              <w:pStyle w:val="TableParagraph"/>
              <w:spacing w:before="67"/>
              <w:ind w:left="9"/>
              <w:rPr>
                <w:sz w:val="12"/>
              </w:rPr>
            </w:pPr>
            <w:r>
              <w:rPr>
                <w:spacing w:val="-2"/>
                <w:sz w:val="12"/>
              </w:rPr>
              <w:t>(0.357)</w:t>
            </w: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8" w:hRule="atLeast"/>
        </w:trPr>
        <w:tc>
          <w:tcPr>
            <w:tcW w:w="1181" w:type="dxa"/>
          </w:tcPr>
          <w:p>
            <w:pPr>
              <w:pStyle w:val="TableParagraph"/>
              <w:spacing w:before="70"/>
              <w:ind w:left="35"/>
              <w:jc w:val="left"/>
              <w:rPr>
                <w:sz w:val="12"/>
              </w:rPr>
            </w:pPr>
            <w:r>
              <w:rPr>
                <w:spacing w:val="-5"/>
                <w:sz w:val="12"/>
              </w:rPr>
              <w:t>CER</w:t>
            </w:r>
          </w:p>
        </w:tc>
        <w:tc>
          <w:tcPr>
            <w:tcW w:w="963" w:type="dxa"/>
          </w:tcPr>
          <w:p>
            <w:pPr>
              <w:pStyle w:val="TableParagraph"/>
              <w:spacing w:before="70"/>
              <w:ind w:right="303"/>
              <w:jc w:val="right"/>
              <w:rPr>
                <w:sz w:val="12"/>
              </w:rPr>
            </w:pPr>
            <w:r>
              <w:rPr>
                <w:spacing w:val="-2"/>
                <w:sz w:val="12"/>
              </w:rPr>
              <w:t>0.346*</w:t>
            </w:r>
          </w:p>
        </w:tc>
        <w:tc>
          <w:tcPr>
            <w:tcW w:w="965" w:type="dxa"/>
          </w:tcPr>
          <w:p>
            <w:pPr>
              <w:pStyle w:val="TableParagraph"/>
              <w:spacing w:before="70"/>
              <w:ind w:right="305"/>
              <w:jc w:val="right"/>
              <w:rPr>
                <w:sz w:val="12"/>
              </w:rPr>
            </w:pPr>
            <w:r>
              <w:rPr>
                <w:spacing w:val="-2"/>
                <w:sz w:val="12"/>
              </w:rPr>
              <w:t>0.280*</w:t>
            </w:r>
          </w:p>
        </w:tc>
        <w:tc>
          <w:tcPr>
            <w:tcW w:w="965" w:type="dxa"/>
          </w:tcPr>
          <w:p>
            <w:pPr>
              <w:pStyle w:val="TableParagraph"/>
              <w:spacing w:before="70"/>
              <w:ind w:left="9" w:right="1"/>
              <w:rPr>
                <w:sz w:val="12"/>
              </w:rPr>
            </w:pPr>
            <w:r>
              <w:rPr>
                <w:spacing w:val="-2"/>
                <w:sz w:val="12"/>
              </w:rPr>
              <w:t>0.327*</w:t>
            </w:r>
          </w:p>
        </w:tc>
        <w:tc>
          <w:tcPr>
            <w:tcW w:w="963" w:type="dxa"/>
          </w:tcPr>
          <w:p>
            <w:pPr>
              <w:pStyle w:val="TableParagraph"/>
              <w:spacing w:before="70"/>
              <w:ind w:left="12" w:right="4"/>
              <w:rPr>
                <w:sz w:val="12"/>
              </w:rPr>
            </w:pPr>
            <w:r>
              <w:rPr>
                <w:spacing w:val="-2"/>
                <w:sz w:val="12"/>
              </w:rPr>
              <w:t>0.071</w:t>
            </w:r>
          </w:p>
        </w:tc>
        <w:tc>
          <w:tcPr>
            <w:tcW w:w="965" w:type="dxa"/>
          </w:tcPr>
          <w:p>
            <w:pPr>
              <w:pStyle w:val="TableParagraph"/>
              <w:spacing w:before="70"/>
              <w:ind w:left="9" w:right="4"/>
              <w:rPr>
                <w:sz w:val="12"/>
              </w:rPr>
            </w:pPr>
            <w:r>
              <w:rPr>
                <w:spacing w:val="-2"/>
                <w:sz w:val="12"/>
              </w:rPr>
              <w:t>1.000</w:t>
            </w: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8" w:hRule="atLeast"/>
        </w:trPr>
        <w:tc>
          <w:tcPr>
            <w:tcW w:w="1181" w:type="dxa"/>
          </w:tcPr>
          <w:p>
            <w:pPr>
              <w:pStyle w:val="TableParagraph"/>
              <w:spacing w:before="0"/>
              <w:jc w:val="left"/>
              <w:rPr>
                <w:sz w:val="16"/>
              </w:rPr>
            </w:pPr>
          </w:p>
        </w:tc>
        <w:tc>
          <w:tcPr>
            <w:tcW w:w="963" w:type="dxa"/>
          </w:tcPr>
          <w:p>
            <w:pPr>
              <w:pStyle w:val="TableParagraph"/>
              <w:spacing w:before="67"/>
              <w:ind w:right="292"/>
              <w:jc w:val="right"/>
              <w:rPr>
                <w:sz w:val="12"/>
              </w:rPr>
            </w:pPr>
            <w:r>
              <w:rPr>
                <w:spacing w:val="-2"/>
                <w:sz w:val="12"/>
              </w:rPr>
              <w:t>(0.000)</w:t>
            </w:r>
          </w:p>
        </w:tc>
        <w:tc>
          <w:tcPr>
            <w:tcW w:w="965" w:type="dxa"/>
          </w:tcPr>
          <w:p>
            <w:pPr>
              <w:pStyle w:val="TableParagraph"/>
              <w:spacing w:before="67"/>
              <w:ind w:right="294"/>
              <w:jc w:val="right"/>
              <w:rPr>
                <w:sz w:val="12"/>
              </w:rPr>
            </w:pPr>
            <w:r>
              <w:rPr>
                <w:spacing w:val="-2"/>
                <w:sz w:val="12"/>
              </w:rPr>
              <w:t>(0.000)</w:t>
            </w:r>
          </w:p>
        </w:tc>
        <w:tc>
          <w:tcPr>
            <w:tcW w:w="965" w:type="dxa"/>
          </w:tcPr>
          <w:p>
            <w:pPr>
              <w:pStyle w:val="TableParagraph"/>
              <w:spacing w:before="67"/>
              <w:ind w:left="9"/>
              <w:rPr>
                <w:sz w:val="12"/>
              </w:rPr>
            </w:pPr>
            <w:r>
              <w:rPr>
                <w:spacing w:val="-2"/>
                <w:sz w:val="12"/>
              </w:rPr>
              <w:t>(0.000)</w:t>
            </w:r>
          </w:p>
        </w:tc>
        <w:tc>
          <w:tcPr>
            <w:tcW w:w="963" w:type="dxa"/>
          </w:tcPr>
          <w:p>
            <w:pPr>
              <w:pStyle w:val="TableParagraph"/>
              <w:spacing w:before="67"/>
              <w:ind w:left="12"/>
              <w:rPr>
                <w:sz w:val="12"/>
              </w:rPr>
            </w:pPr>
            <w:r>
              <w:rPr>
                <w:spacing w:val="-2"/>
                <w:sz w:val="12"/>
              </w:rPr>
              <w:t>(0.372)</w:t>
            </w: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5" w:hRule="atLeast"/>
        </w:trPr>
        <w:tc>
          <w:tcPr>
            <w:tcW w:w="1181" w:type="dxa"/>
          </w:tcPr>
          <w:p>
            <w:pPr>
              <w:pStyle w:val="TableParagraph"/>
              <w:spacing w:before="67"/>
              <w:ind w:left="35"/>
              <w:jc w:val="left"/>
              <w:rPr>
                <w:sz w:val="12"/>
              </w:rPr>
            </w:pPr>
            <w:r>
              <w:rPr>
                <w:spacing w:val="-4"/>
                <w:sz w:val="12"/>
              </w:rPr>
              <w:t>OCFR</w:t>
            </w:r>
          </w:p>
        </w:tc>
        <w:tc>
          <w:tcPr>
            <w:tcW w:w="963" w:type="dxa"/>
          </w:tcPr>
          <w:p>
            <w:pPr>
              <w:pStyle w:val="TableParagraph"/>
              <w:spacing w:before="67"/>
              <w:ind w:right="303"/>
              <w:jc w:val="right"/>
              <w:rPr>
                <w:sz w:val="12"/>
              </w:rPr>
            </w:pPr>
            <w:r>
              <w:rPr>
                <w:spacing w:val="-2"/>
                <w:sz w:val="12"/>
              </w:rPr>
              <w:t>0.264*</w:t>
            </w:r>
          </w:p>
        </w:tc>
        <w:tc>
          <w:tcPr>
            <w:tcW w:w="965" w:type="dxa"/>
          </w:tcPr>
          <w:p>
            <w:pPr>
              <w:pStyle w:val="TableParagraph"/>
              <w:spacing w:before="67"/>
              <w:ind w:right="336"/>
              <w:jc w:val="right"/>
              <w:rPr>
                <w:sz w:val="12"/>
              </w:rPr>
            </w:pPr>
            <w:r>
              <w:rPr>
                <w:spacing w:val="-2"/>
                <w:sz w:val="12"/>
              </w:rPr>
              <w:t>0.140</w:t>
            </w:r>
          </w:p>
        </w:tc>
        <w:tc>
          <w:tcPr>
            <w:tcW w:w="965" w:type="dxa"/>
          </w:tcPr>
          <w:p>
            <w:pPr>
              <w:pStyle w:val="TableParagraph"/>
              <w:spacing w:before="67"/>
              <w:ind w:left="9" w:right="4"/>
              <w:rPr>
                <w:sz w:val="12"/>
              </w:rPr>
            </w:pPr>
            <w:r>
              <w:rPr>
                <w:spacing w:val="-2"/>
                <w:sz w:val="12"/>
              </w:rPr>
              <w:t>0.072</w:t>
            </w:r>
          </w:p>
        </w:tc>
        <w:tc>
          <w:tcPr>
            <w:tcW w:w="963" w:type="dxa"/>
          </w:tcPr>
          <w:p>
            <w:pPr>
              <w:pStyle w:val="TableParagraph"/>
              <w:spacing w:before="67"/>
              <w:ind w:left="12" w:right="2"/>
              <w:rPr>
                <w:sz w:val="12"/>
              </w:rPr>
            </w:pPr>
            <w:r>
              <w:rPr>
                <w:spacing w:val="-2"/>
                <w:sz w:val="12"/>
              </w:rPr>
              <w:t>0.998*</w:t>
            </w:r>
          </w:p>
        </w:tc>
        <w:tc>
          <w:tcPr>
            <w:tcW w:w="965" w:type="dxa"/>
          </w:tcPr>
          <w:p>
            <w:pPr>
              <w:pStyle w:val="TableParagraph"/>
              <w:spacing w:before="67"/>
              <w:ind w:left="9" w:right="4"/>
              <w:rPr>
                <w:sz w:val="12"/>
              </w:rPr>
            </w:pPr>
            <w:r>
              <w:rPr>
                <w:spacing w:val="-2"/>
                <w:sz w:val="12"/>
              </w:rPr>
              <w:t>0.073</w:t>
            </w:r>
          </w:p>
        </w:tc>
        <w:tc>
          <w:tcPr>
            <w:tcW w:w="966" w:type="dxa"/>
          </w:tcPr>
          <w:p>
            <w:pPr>
              <w:pStyle w:val="TableParagraph"/>
              <w:spacing w:before="67"/>
              <w:ind w:left="7" w:right="4"/>
              <w:rPr>
                <w:sz w:val="12"/>
              </w:rPr>
            </w:pPr>
            <w:r>
              <w:rPr>
                <w:spacing w:val="-2"/>
                <w:sz w:val="12"/>
              </w:rPr>
              <w:t>1.000</w:t>
            </w: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7" w:hRule="atLeast"/>
        </w:trPr>
        <w:tc>
          <w:tcPr>
            <w:tcW w:w="1181" w:type="dxa"/>
          </w:tcPr>
          <w:p>
            <w:pPr>
              <w:pStyle w:val="TableParagraph"/>
              <w:spacing w:before="0"/>
              <w:jc w:val="left"/>
              <w:rPr>
                <w:sz w:val="16"/>
              </w:rPr>
            </w:pPr>
          </w:p>
        </w:tc>
        <w:tc>
          <w:tcPr>
            <w:tcW w:w="963" w:type="dxa"/>
          </w:tcPr>
          <w:p>
            <w:pPr>
              <w:pStyle w:val="TableParagraph"/>
              <w:spacing w:before="67"/>
              <w:ind w:right="292"/>
              <w:jc w:val="right"/>
              <w:rPr>
                <w:sz w:val="12"/>
              </w:rPr>
            </w:pPr>
            <w:r>
              <w:rPr>
                <w:spacing w:val="-2"/>
                <w:sz w:val="12"/>
              </w:rPr>
              <w:t>(0.001)</w:t>
            </w:r>
          </w:p>
        </w:tc>
        <w:tc>
          <w:tcPr>
            <w:tcW w:w="965" w:type="dxa"/>
          </w:tcPr>
          <w:p>
            <w:pPr>
              <w:pStyle w:val="TableParagraph"/>
              <w:spacing w:before="67"/>
              <w:ind w:right="294"/>
              <w:jc w:val="right"/>
              <w:rPr>
                <w:sz w:val="12"/>
              </w:rPr>
            </w:pPr>
            <w:r>
              <w:rPr>
                <w:spacing w:val="-2"/>
                <w:sz w:val="12"/>
              </w:rPr>
              <w:t>(0.077)</w:t>
            </w:r>
          </w:p>
        </w:tc>
        <w:tc>
          <w:tcPr>
            <w:tcW w:w="965" w:type="dxa"/>
          </w:tcPr>
          <w:p>
            <w:pPr>
              <w:pStyle w:val="TableParagraph"/>
              <w:spacing w:before="67"/>
              <w:ind w:left="9"/>
              <w:rPr>
                <w:sz w:val="12"/>
              </w:rPr>
            </w:pPr>
            <w:r>
              <w:rPr>
                <w:spacing w:val="-2"/>
                <w:sz w:val="12"/>
              </w:rPr>
              <w:t>(0.367)</w:t>
            </w:r>
          </w:p>
        </w:tc>
        <w:tc>
          <w:tcPr>
            <w:tcW w:w="963" w:type="dxa"/>
          </w:tcPr>
          <w:p>
            <w:pPr>
              <w:pStyle w:val="TableParagraph"/>
              <w:spacing w:before="67"/>
              <w:ind w:left="12"/>
              <w:rPr>
                <w:sz w:val="12"/>
              </w:rPr>
            </w:pPr>
            <w:r>
              <w:rPr>
                <w:spacing w:val="-2"/>
                <w:sz w:val="12"/>
              </w:rPr>
              <w:t>(0.000)</w:t>
            </w:r>
          </w:p>
        </w:tc>
        <w:tc>
          <w:tcPr>
            <w:tcW w:w="965" w:type="dxa"/>
          </w:tcPr>
          <w:p>
            <w:pPr>
              <w:pStyle w:val="TableParagraph"/>
              <w:spacing w:before="67"/>
              <w:ind w:left="9" w:right="1"/>
              <w:rPr>
                <w:sz w:val="12"/>
              </w:rPr>
            </w:pPr>
            <w:r>
              <w:rPr>
                <w:spacing w:val="-2"/>
                <w:sz w:val="12"/>
              </w:rPr>
              <w:t>(0.362)</w:t>
            </w: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75" w:hRule="atLeast"/>
        </w:trPr>
        <w:tc>
          <w:tcPr>
            <w:tcW w:w="1181" w:type="dxa"/>
          </w:tcPr>
          <w:p>
            <w:pPr>
              <w:pStyle w:val="TableParagraph"/>
              <w:spacing w:before="67"/>
              <w:ind w:left="35"/>
              <w:jc w:val="left"/>
              <w:rPr>
                <w:sz w:val="12"/>
              </w:rPr>
            </w:pPr>
            <w:r>
              <w:rPr>
                <w:spacing w:val="-4"/>
                <w:sz w:val="12"/>
              </w:rPr>
              <w:t>SIZE</w:t>
            </w:r>
          </w:p>
        </w:tc>
        <w:tc>
          <w:tcPr>
            <w:tcW w:w="963" w:type="dxa"/>
          </w:tcPr>
          <w:p>
            <w:pPr>
              <w:pStyle w:val="TableParagraph"/>
              <w:spacing w:before="67"/>
              <w:ind w:right="303"/>
              <w:jc w:val="right"/>
              <w:rPr>
                <w:sz w:val="12"/>
              </w:rPr>
            </w:pPr>
            <w:r>
              <w:rPr>
                <w:spacing w:val="-2"/>
                <w:sz w:val="12"/>
              </w:rPr>
              <w:t>0.258*</w:t>
            </w:r>
          </w:p>
        </w:tc>
        <w:tc>
          <w:tcPr>
            <w:tcW w:w="965" w:type="dxa"/>
          </w:tcPr>
          <w:p>
            <w:pPr>
              <w:pStyle w:val="TableParagraph"/>
              <w:spacing w:before="67"/>
              <w:ind w:right="305"/>
              <w:jc w:val="right"/>
              <w:rPr>
                <w:sz w:val="12"/>
              </w:rPr>
            </w:pPr>
            <w:r>
              <w:rPr>
                <w:spacing w:val="-2"/>
                <w:sz w:val="12"/>
              </w:rPr>
              <w:t>0.265*</w:t>
            </w:r>
          </w:p>
        </w:tc>
        <w:tc>
          <w:tcPr>
            <w:tcW w:w="965" w:type="dxa"/>
          </w:tcPr>
          <w:p>
            <w:pPr>
              <w:pStyle w:val="TableParagraph"/>
              <w:spacing w:before="67"/>
              <w:ind w:left="9" w:right="1"/>
              <w:rPr>
                <w:sz w:val="12"/>
              </w:rPr>
            </w:pPr>
            <w:r>
              <w:rPr>
                <w:spacing w:val="-2"/>
                <w:sz w:val="12"/>
              </w:rPr>
              <w:t>0.446*</w:t>
            </w:r>
          </w:p>
        </w:tc>
        <w:tc>
          <w:tcPr>
            <w:tcW w:w="963" w:type="dxa"/>
          </w:tcPr>
          <w:p>
            <w:pPr>
              <w:pStyle w:val="TableParagraph"/>
              <w:spacing w:before="67"/>
              <w:ind w:left="12" w:right="4"/>
              <w:rPr>
                <w:sz w:val="12"/>
              </w:rPr>
            </w:pPr>
            <w:r>
              <w:rPr>
                <w:spacing w:val="-2"/>
                <w:sz w:val="12"/>
              </w:rPr>
              <w:t>-0.026</w:t>
            </w:r>
          </w:p>
        </w:tc>
        <w:tc>
          <w:tcPr>
            <w:tcW w:w="965" w:type="dxa"/>
          </w:tcPr>
          <w:p>
            <w:pPr>
              <w:pStyle w:val="TableParagraph"/>
              <w:spacing w:before="67"/>
              <w:ind w:left="9" w:right="4"/>
              <w:rPr>
                <w:sz w:val="12"/>
              </w:rPr>
            </w:pPr>
            <w:r>
              <w:rPr>
                <w:spacing w:val="-2"/>
                <w:sz w:val="12"/>
              </w:rPr>
              <w:t>-0.066</w:t>
            </w:r>
          </w:p>
        </w:tc>
        <w:tc>
          <w:tcPr>
            <w:tcW w:w="966" w:type="dxa"/>
          </w:tcPr>
          <w:p>
            <w:pPr>
              <w:pStyle w:val="TableParagraph"/>
              <w:spacing w:before="67"/>
              <w:ind w:left="7" w:right="4"/>
              <w:rPr>
                <w:sz w:val="12"/>
              </w:rPr>
            </w:pPr>
            <w:r>
              <w:rPr>
                <w:spacing w:val="-2"/>
                <w:sz w:val="12"/>
              </w:rPr>
              <w:t>-0.026</w:t>
            </w:r>
          </w:p>
        </w:tc>
        <w:tc>
          <w:tcPr>
            <w:tcW w:w="963" w:type="dxa"/>
          </w:tcPr>
          <w:p>
            <w:pPr>
              <w:pStyle w:val="TableParagraph"/>
              <w:spacing w:before="67"/>
              <w:ind w:left="12" w:right="7"/>
              <w:rPr>
                <w:sz w:val="12"/>
              </w:rPr>
            </w:pPr>
            <w:r>
              <w:rPr>
                <w:spacing w:val="-2"/>
                <w:sz w:val="12"/>
              </w:rPr>
              <w:t>1.000</w:t>
            </w:r>
          </w:p>
        </w:tc>
        <w:tc>
          <w:tcPr>
            <w:tcW w:w="965" w:type="dxa"/>
          </w:tcPr>
          <w:p>
            <w:pPr>
              <w:pStyle w:val="TableParagraph"/>
              <w:spacing w:before="0"/>
              <w:jc w:val="left"/>
              <w:rPr>
                <w:sz w:val="16"/>
              </w:rPr>
            </w:pPr>
          </w:p>
        </w:tc>
      </w:tr>
      <w:tr>
        <w:trPr>
          <w:trHeight w:val="278" w:hRule="atLeast"/>
        </w:trPr>
        <w:tc>
          <w:tcPr>
            <w:tcW w:w="1181" w:type="dxa"/>
          </w:tcPr>
          <w:p>
            <w:pPr>
              <w:pStyle w:val="TableParagraph"/>
              <w:spacing w:before="0"/>
              <w:jc w:val="left"/>
              <w:rPr>
                <w:sz w:val="16"/>
              </w:rPr>
            </w:pPr>
          </w:p>
        </w:tc>
        <w:tc>
          <w:tcPr>
            <w:tcW w:w="963" w:type="dxa"/>
          </w:tcPr>
          <w:p>
            <w:pPr>
              <w:pStyle w:val="TableParagraph"/>
              <w:spacing w:before="67"/>
              <w:ind w:right="292"/>
              <w:jc w:val="right"/>
              <w:rPr>
                <w:sz w:val="12"/>
              </w:rPr>
            </w:pPr>
            <w:r>
              <w:rPr>
                <w:spacing w:val="-2"/>
                <w:sz w:val="12"/>
              </w:rPr>
              <w:t>(0.001)</w:t>
            </w:r>
          </w:p>
        </w:tc>
        <w:tc>
          <w:tcPr>
            <w:tcW w:w="965" w:type="dxa"/>
          </w:tcPr>
          <w:p>
            <w:pPr>
              <w:pStyle w:val="TableParagraph"/>
              <w:spacing w:before="67"/>
              <w:ind w:right="294"/>
              <w:jc w:val="right"/>
              <w:rPr>
                <w:sz w:val="12"/>
              </w:rPr>
            </w:pPr>
            <w:r>
              <w:rPr>
                <w:spacing w:val="-2"/>
                <w:sz w:val="12"/>
              </w:rPr>
              <w:t>(0.001)</w:t>
            </w:r>
          </w:p>
        </w:tc>
        <w:tc>
          <w:tcPr>
            <w:tcW w:w="965" w:type="dxa"/>
          </w:tcPr>
          <w:p>
            <w:pPr>
              <w:pStyle w:val="TableParagraph"/>
              <w:spacing w:before="67"/>
              <w:ind w:left="9"/>
              <w:rPr>
                <w:sz w:val="12"/>
              </w:rPr>
            </w:pPr>
            <w:r>
              <w:rPr>
                <w:spacing w:val="-2"/>
                <w:sz w:val="12"/>
              </w:rPr>
              <w:t>(0.000)</w:t>
            </w:r>
          </w:p>
        </w:tc>
        <w:tc>
          <w:tcPr>
            <w:tcW w:w="963" w:type="dxa"/>
          </w:tcPr>
          <w:p>
            <w:pPr>
              <w:pStyle w:val="TableParagraph"/>
              <w:spacing w:before="67"/>
              <w:ind w:left="12"/>
              <w:rPr>
                <w:sz w:val="12"/>
              </w:rPr>
            </w:pPr>
            <w:r>
              <w:rPr>
                <w:spacing w:val="-2"/>
                <w:sz w:val="12"/>
              </w:rPr>
              <w:t>(0.747)</w:t>
            </w:r>
          </w:p>
        </w:tc>
        <w:tc>
          <w:tcPr>
            <w:tcW w:w="965" w:type="dxa"/>
          </w:tcPr>
          <w:p>
            <w:pPr>
              <w:pStyle w:val="TableParagraph"/>
              <w:spacing w:before="67"/>
              <w:ind w:left="9" w:right="1"/>
              <w:rPr>
                <w:sz w:val="12"/>
              </w:rPr>
            </w:pPr>
            <w:r>
              <w:rPr>
                <w:spacing w:val="-2"/>
                <w:sz w:val="12"/>
              </w:rPr>
              <w:t>(0.408)</w:t>
            </w:r>
          </w:p>
        </w:tc>
        <w:tc>
          <w:tcPr>
            <w:tcW w:w="966" w:type="dxa"/>
          </w:tcPr>
          <w:p>
            <w:pPr>
              <w:pStyle w:val="TableParagraph"/>
              <w:spacing w:before="67"/>
              <w:ind w:left="7"/>
              <w:rPr>
                <w:sz w:val="12"/>
              </w:rPr>
            </w:pPr>
            <w:r>
              <w:rPr>
                <w:spacing w:val="-2"/>
                <w:sz w:val="12"/>
              </w:rPr>
              <w:t>(0.749)</w:t>
            </w: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r>
        <w:trPr>
          <w:trHeight w:val="208" w:hRule="atLeast"/>
        </w:trPr>
        <w:tc>
          <w:tcPr>
            <w:tcW w:w="1181" w:type="dxa"/>
          </w:tcPr>
          <w:p>
            <w:pPr>
              <w:pStyle w:val="TableParagraph"/>
              <w:ind w:left="35"/>
              <w:jc w:val="left"/>
              <w:rPr>
                <w:sz w:val="12"/>
              </w:rPr>
            </w:pPr>
            <w:r>
              <w:rPr>
                <w:spacing w:val="-5"/>
                <w:sz w:val="12"/>
              </w:rPr>
              <w:t>AGE</w:t>
            </w:r>
          </w:p>
        </w:tc>
        <w:tc>
          <w:tcPr>
            <w:tcW w:w="963" w:type="dxa"/>
          </w:tcPr>
          <w:p>
            <w:pPr>
              <w:pStyle w:val="TableParagraph"/>
              <w:ind w:right="334"/>
              <w:jc w:val="right"/>
              <w:rPr>
                <w:sz w:val="12"/>
              </w:rPr>
            </w:pPr>
            <w:r>
              <w:rPr>
                <w:spacing w:val="-2"/>
                <w:sz w:val="12"/>
              </w:rPr>
              <w:t>0.091</w:t>
            </w:r>
          </w:p>
        </w:tc>
        <w:tc>
          <w:tcPr>
            <w:tcW w:w="965" w:type="dxa"/>
          </w:tcPr>
          <w:p>
            <w:pPr>
              <w:pStyle w:val="TableParagraph"/>
              <w:ind w:right="317"/>
              <w:jc w:val="right"/>
              <w:rPr>
                <w:sz w:val="12"/>
              </w:rPr>
            </w:pPr>
            <w:r>
              <w:rPr>
                <w:spacing w:val="-2"/>
                <w:sz w:val="12"/>
              </w:rPr>
              <w:t>-0.100</w:t>
            </w:r>
          </w:p>
        </w:tc>
        <w:tc>
          <w:tcPr>
            <w:tcW w:w="965" w:type="dxa"/>
          </w:tcPr>
          <w:p>
            <w:pPr>
              <w:pStyle w:val="TableParagraph"/>
              <w:ind w:left="9" w:right="1"/>
              <w:rPr>
                <w:sz w:val="12"/>
              </w:rPr>
            </w:pPr>
            <w:r>
              <w:rPr>
                <w:spacing w:val="-2"/>
                <w:sz w:val="12"/>
              </w:rPr>
              <w:t>0.294*</w:t>
            </w:r>
          </w:p>
        </w:tc>
        <w:tc>
          <w:tcPr>
            <w:tcW w:w="963" w:type="dxa"/>
          </w:tcPr>
          <w:p>
            <w:pPr>
              <w:pStyle w:val="TableParagraph"/>
              <w:ind w:left="12" w:right="4"/>
              <w:rPr>
                <w:sz w:val="12"/>
              </w:rPr>
            </w:pPr>
            <w:r>
              <w:rPr>
                <w:spacing w:val="-2"/>
                <w:sz w:val="12"/>
              </w:rPr>
              <w:t>0.005</w:t>
            </w:r>
          </w:p>
        </w:tc>
        <w:tc>
          <w:tcPr>
            <w:tcW w:w="965" w:type="dxa"/>
          </w:tcPr>
          <w:p>
            <w:pPr>
              <w:pStyle w:val="TableParagraph"/>
              <w:ind w:left="9" w:right="4"/>
              <w:rPr>
                <w:sz w:val="12"/>
              </w:rPr>
            </w:pPr>
            <w:r>
              <w:rPr>
                <w:spacing w:val="-2"/>
                <w:sz w:val="12"/>
              </w:rPr>
              <w:t>-0.015</w:t>
            </w:r>
          </w:p>
        </w:tc>
        <w:tc>
          <w:tcPr>
            <w:tcW w:w="966" w:type="dxa"/>
          </w:tcPr>
          <w:p>
            <w:pPr>
              <w:pStyle w:val="TableParagraph"/>
              <w:ind w:left="7" w:right="4"/>
              <w:rPr>
                <w:sz w:val="12"/>
              </w:rPr>
            </w:pPr>
            <w:r>
              <w:rPr>
                <w:spacing w:val="-2"/>
                <w:sz w:val="12"/>
              </w:rPr>
              <w:t>0.007</w:t>
            </w:r>
          </w:p>
        </w:tc>
        <w:tc>
          <w:tcPr>
            <w:tcW w:w="963" w:type="dxa"/>
          </w:tcPr>
          <w:p>
            <w:pPr>
              <w:pStyle w:val="TableParagraph"/>
              <w:ind w:left="12" w:right="5"/>
              <w:rPr>
                <w:sz w:val="12"/>
              </w:rPr>
            </w:pPr>
            <w:r>
              <w:rPr>
                <w:spacing w:val="-2"/>
                <w:sz w:val="12"/>
              </w:rPr>
              <w:t>0.232*</w:t>
            </w:r>
          </w:p>
        </w:tc>
        <w:tc>
          <w:tcPr>
            <w:tcW w:w="965" w:type="dxa"/>
          </w:tcPr>
          <w:p>
            <w:pPr>
              <w:pStyle w:val="TableParagraph"/>
              <w:ind w:left="9" w:right="7"/>
              <w:rPr>
                <w:sz w:val="12"/>
              </w:rPr>
            </w:pPr>
            <w:r>
              <w:rPr>
                <w:spacing w:val="-2"/>
                <w:sz w:val="12"/>
              </w:rPr>
              <w:t>1.000</w:t>
            </w:r>
          </w:p>
        </w:tc>
      </w:tr>
      <w:tr>
        <w:trPr>
          <w:trHeight w:val="275" w:hRule="atLeast"/>
        </w:trPr>
        <w:tc>
          <w:tcPr>
            <w:tcW w:w="1181" w:type="dxa"/>
          </w:tcPr>
          <w:p>
            <w:pPr>
              <w:pStyle w:val="TableParagraph"/>
              <w:spacing w:before="0"/>
              <w:jc w:val="left"/>
              <w:rPr>
                <w:sz w:val="16"/>
              </w:rPr>
            </w:pPr>
          </w:p>
        </w:tc>
        <w:tc>
          <w:tcPr>
            <w:tcW w:w="963" w:type="dxa"/>
          </w:tcPr>
          <w:p>
            <w:pPr>
              <w:pStyle w:val="TableParagraph"/>
              <w:spacing w:before="67"/>
              <w:ind w:right="292"/>
              <w:jc w:val="right"/>
              <w:rPr>
                <w:sz w:val="12"/>
              </w:rPr>
            </w:pPr>
            <w:r>
              <w:rPr>
                <w:spacing w:val="-2"/>
                <w:sz w:val="12"/>
              </w:rPr>
              <w:t>(0.252)</w:t>
            </w:r>
          </w:p>
        </w:tc>
        <w:tc>
          <w:tcPr>
            <w:tcW w:w="965" w:type="dxa"/>
          </w:tcPr>
          <w:p>
            <w:pPr>
              <w:pStyle w:val="TableParagraph"/>
              <w:spacing w:before="67"/>
              <w:ind w:right="294"/>
              <w:jc w:val="right"/>
              <w:rPr>
                <w:sz w:val="12"/>
              </w:rPr>
            </w:pPr>
            <w:r>
              <w:rPr>
                <w:spacing w:val="-2"/>
                <w:sz w:val="12"/>
              </w:rPr>
              <w:t>(0.207)</w:t>
            </w:r>
          </w:p>
        </w:tc>
        <w:tc>
          <w:tcPr>
            <w:tcW w:w="965" w:type="dxa"/>
          </w:tcPr>
          <w:p>
            <w:pPr>
              <w:pStyle w:val="TableParagraph"/>
              <w:spacing w:before="67"/>
              <w:ind w:left="9"/>
              <w:rPr>
                <w:sz w:val="12"/>
              </w:rPr>
            </w:pPr>
            <w:r>
              <w:rPr>
                <w:spacing w:val="-2"/>
                <w:sz w:val="12"/>
              </w:rPr>
              <w:t>(0.000)</w:t>
            </w:r>
          </w:p>
        </w:tc>
        <w:tc>
          <w:tcPr>
            <w:tcW w:w="963" w:type="dxa"/>
          </w:tcPr>
          <w:p>
            <w:pPr>
              <w:pStyle w:val="TableParagraph"/>
              <w:spacing w:before="67"/>
              <w:ind w:left="12"/>
              <w:rPr>
                <w:sz w:val="12"/>
              </w:rPr>
            </w:pPr>
            <w:r>
              <w:rPr>
                <w:spacing w:val="-2"/>
                <w:sz w:val="12"/>
              </w:rPr>
              <w:t>(0.954)</w:t>
            </w:r>
          </w:p>
        </w:tc>
        <w:tc>
          <w:tcPr>
            <w:tcW w:w="965" w:type="dxa"/>
          </w:tcPr>
          <w:p>
            <w:pPr>
              <w:pStyle w:val="TableParagraph"/>
              <w:spacing w:before="67"/>
              <w:ind w:left="9" w:right="1"/>
              <w:rPr>
                <w:sz w:val="12"/>
              </w:rPr>
            </w:pPr>
            <w:r>
              <w:rPr>
                <w:spacing w:val="-2"/>
                <w:sz w:val="12"/>
              </w:rPr>
              <w:t>(0.849)</w:t>
            </w:r>
          </w:p>
        </w:tc>
        <w:tc>
          <w:tcPr>
            <w:tcW w:w="966" w:type="dxa"/>
          </w:tcPr>
          <w:p>
            <w:pPr>
              <w:pStyle w:val="TableParagraph"/>
              <w:spacing w:before="67"/>
              <w:ind w:left="7"/>
              <w:rPr>
                <w:sz w:val="12"/>
              </w:rPr>
            </w:pPr>
            <w:r>
              <w:rPr>
                <w:spacing w:val="-2"/>
                <w:sz w:val="12"/>
              </w:rPr>
              <w:t>(0.929)</w:t>
            </w:r>
          </w:p>
        </w:tc>
        <w:tc>
          <w:tcPr>
            <w:tcW w:w="963" w:type="dxa"/>
          </w:tcPr>
          <w:p>
            <w:pPr>
              <w:pStyle w:val="TableParagraph"/>
              <w:spacing w:before="67"/>
              <w:ind w:left="12" w:right="3"/>
              <w:rPr>
                <w:sz w:val="12"/>
              </w:rPr>
            </w:pPr>
            <w:r>
              <w:rPr>
                <w:spacing w:val="-2"/>
                <w:sz w:val="12"/>
              </w:rPr>
              <w:t>(0.003)</w:t>
            </w:r>
          </w:p>
        </w:tc>
        <w:tc>
          <w:tcPr>
            <w:tcW w:w="965" w:type="dxa"/>
          </w:tcPr>
          <w:p>
            <w:pPr>
              <w:pStyle w:val="TableParagraph"/>
              <w:spacing w:before="0"/>
              <w:jc w:val="left"/>
              <w:rPr>
                <w:sz w:val="16"/>
              </w:rPr>
            </w:pPr>
          </w:p>
        </w:tc>
      </w:tr>
      <w:tr>
        <w:trPr>
          <w:trHeight w:val="277" w:hRule="atLeast"/>
        </w:trPr>
        <w:tc>
          <w:tcPr>
            <w:tcW w:w="1181"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5"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c>
          <w:tcPr>
            <w:tcW w:w="966" w:type="dxa"/>
          </w:tcPr>
          <w:p>
            <w:pPr>
              <w:pStyle w:val="TableParagraph"/>
              <w:spacing w:before="0"/>
              <w:jc w:val="left"/>
              <w:rPr>
                <w:sz w:val="16"/>
              </w:rPr>
            </w:pPr>
          </w:p>
        </w:tc>
        <w:tc>
          <w:tcPr>
            <w:tcW w:w="963" w:type="dxa"/>
          </w:tcPr>
          <w:p>
            <w:pPr>
              <w:pStyle w:val="TableParagraph"/>
              <w:spacing w:before="0"/>
              <w:jc w:val="left"/>
              <w:rPr>
                <w:sz w:val="16"/>
              </w:rPr>
            </w:pPr>
          </w:p>
        </w:tc>
        <w:tc>
          <w:tcPr>
            <w:tcW w:w="965" w:type="dxa"/>
          </w:tcPr>
          <w:p>
            <w:pPr>
              <w:pStyle w:val="TableParagraph"/>
              <w:spacing w:before="0"/>
              <w:jc w:val="left"/>
              <w:rPr>
                <w:sz w:val="16"/>
              </w:rPr>
            </w:pPr>
          </w:p>
        </w:tc>
      </w:tr>
    </w:tbl>
    <w:p>
      <w:pPr>
        <w:pStyle w:val="BodyText"/>
        <w:spacing w:before="29"/>
        <w:ind w:left="0" w:firstLine="0"/>
        <w:jc w:val="left"/>
        <w:rPr>
          <w:sz w:val="16"/>
        </w:rPr>
      </w:pPr>
    </w:p>
    <w:p>
      <w:pPr>
        <w:spacing w:before="0"/>
        <w:ind w:left="369" w:right="0" w:firstLine="0"/>
        <w:jc w:val="both"/>
        <w:rPr>
          <w:i/>
          <w:sz w:val="16"/>
        </w:rPr>
      </w:pPr>
      <w:r>
        <w:rPr>
          <w:b/>
          <w:sz w:val="16"/>
        </w:rPr>
        <w:t>Source:</w:t>
      </w:r>
      <w:r>
        <w:rPr>
          <w:b/>
          <w:spacing w:val="-7"/>
          <w:sz w:val="16"/>
        </w:rPr>
        <w:t> </w:t>
      </w:r>
      <w:r>
        <w:rPr>
          <w:i/>
          <w:sz w:val="16"/>
        </w:rPr>
        <w:t>STATA</w:t>
      </w:r>
      <w:r>
        <w:rPr>
          <w:i/>
          <w:spacing w:val="-4"/>
          <w:sz w:val="16"/>
        </w:rPr>
        <w:t> </w:t>
      </w:r>
      <w:r>
        <w:rPr>
          <w:i/>
          <w:sz w:val="16"/>
        </w:rPr>
        <w:t>Output,</w:t>
      </w:r>
      <w:r>
        <w:rPr>
          <w:i/>
          <w:spacing w:val="-6"/>
          <w:sz w:val="16"/>
        </w:rPr>
        <w:t> </w:t>
      </w:r>
      <w:r>
        <w:rPr>
          <w:i/>
          <w:spacing w:val="-4"/>
          <w:sz w:val="16"/>
        </w:rPr>
        <w:t>2025</w:t>
      </w:r>
    </w:p>
    <w:p>
      <w:pPr>
        <w:pStyle w:val="BodyText"/>
        <w:spacing w:line="242" w:lineRule="auto" w:before="78"/>
        <w:ind w:right="363"/>
      </w:pPr>
      <w:r>
        <w:rPr/>
        <w:t>Table</w:t>
      </w:r>
      <w:r>
        <w:rPr>
          <w:spacing w:val="-5"/>
        </w:rPr>
        <w:t> </w:t>
      </w:r>
      <w:r>
        <w:rPr/>
        <w:t>2</w:t>
      </w:r>
      <w:r>
        <w:rPr>
          <w:spacing w:val="-6"/>
        </w:rPr>
        <w:t> </w:t>
      </w:r>
      <w:r>
        <w:rPr/>
        <w:t>presents</w:t>
      </w:r>
      <w:r>
        <w:rPr>
          <w:spacing w:val="-4"/>
        </w:rPr>
        <w:t> </w:t>
      </w:r>
      <w:r>
        <w:rPr/>
        <w:t>the</w:t>
      </w:r>
      <w:r>
        <w:rPr>
          <w:spacing w:val="-5"/>
        </w:rPr>
        <w:t> </w:t>
      </w:r>
      <w:r>
        <w:rPr/>
        <w:t>Pearson</w:t>
      </w:r>
      <w:r>
        <w:rPr>
          <w:spacing w:val="-6"/>
        </w:rPr>
        <w:t> </w:t>
      </w:r>
      <w:r>
        <w:rPr/>
        <w:t>correlation</w:t>
      </w:r>
      <w:r>
        <w:rPr>
          <w:spacing w:val="-3"/>
        </w:rPr>
        <w:t> </w:t>
      </w:r>
      <w:r>
        <w:rPr/>
        <w:t>coefficients</w:t>
      </w:r>
      <w:r>
        <w:rPr>
          <w:spacing w:val="-4"/>
        </w:rPr>
        <w:t> </w:t>
      </w:r>
      <w:r>
        <w:rPr/>
        <w:t>between</w:t>
      </w:r>
      <w:r>
        <w:rPr>
          <w:spacing w:val="-3"/>
        </w:rPr>
        <w:t> </w:t>
      </w:r>
      <w:r>
        <w:rPr/>
        <w:t>the</w:t>
      </w:r>
      <w:r>
        <w:rPr>
          <w:spacing w:val="-7"/>
        </w:rPr>
        <w:t> </w:t>
      </w:r>
      <w:r>
        <w:rPr/>
        <w:t>dependent</w:t>
      </w:r>
      <w:r>
        <w:rPr>
          <w:spacing w:val="-6"/>
        </w:rPr>
        <w:t> </w:t>
      </w:r>
      <w:r>
        <w:rPr/>
        <w:t>variable,</w:t>
      </w:r>
      <w:r>
        <w:rPr>
          <w:spacing w:val="-6"/>
        </w:rPr>
        <w:t> </w:t>
      </w:r>
      <w:r>
        <w:rPr/>
        <w:t>share</w:t>
      </w:r>
      <w:r>
        <w:rPr>
          <w:spacing w:val="-5"/>
        </w:rPr>
        <w:t> </w:t>
      </w:r>
      <w:r>
        <w:rPr/>
        <w:t>price</w:t>
      </w:r>
      <w:r>
        <w:rPr>
          <w:spacing w:val="-5"/>
        </w:rPr>
        <w:t> </w:t>
      </w:r>
      <w:r>
        <w:rPr/>
        <w:t>(SP),</w:t>
      </w:r>
      <w:r>
        <w:rPr>
          <w:spacing w:val="-4"/>
        </w:rPr>
        <w:t> </w:t>
      </w:r>
      <w:r>
        <w:rPr/>
        <w:t>and</w:t>
      </w:r>
      <w:r>
        <w:rPr>
          <w:spacing w:val="-6"/>
        </w:rPr>
        <w:t> </w:t>
      </w:r>
      <w:r>
        <w:rPr/>
        <w:t>the</w:t>
      </w:r>
      <w:r>
        <w:rPr>
          <w:spacing w:val="-5"/>
        </w:rPr>
        <w:t> </w:t>
      </w:r>
      <w:r>
        <w:rPr/>
        <w:t>explanatory</w:t>
      </w:r>
      <w:r>
        <w:rPr>
          <w:spacing w:val="-5"/>
        </w:rPr>
        <w:t> </w:t>
      </w:r>
      <w:r>
        <w:rPr/>
        <w:t>variables</w:t>
      </w:r>
      <w:r>
        <w:rPr>
          <w:spacing w:val="-5"/>
        </w:rPr>
        <w:t> </w:t>
      </w:r>
      <w:r>
        <w:rPr/>
        <w:t>of the study. The coefficients indicate both the strength and direction</w:t>
      </w:r>
      <w:r>
        <w:rPr>
          <w:spacing w:val="-3"/>
        </w:rPr>
        <w:t> </w:t>
      </w:r>
      <w:r>
        <w:rPr/>
        <w:t>of linear relationships, with significance levels provided in parentheses.</w:t>
      </w:r>
    </w:p>
    <w:p>
      <w:pPr>
        <w:pStyle w:val="BodyText"/>
        <w:spacing w:before="58"/>
        <w:ind w:right="364"/>
      </w:pPr>
      <w:r>
        <w:rPr/>
        <w:t>The correlation between </w:t>
      </w:r>
      <w:r>
        <w:rPr>
          <w:b/>
        </w:rPr>
        <w:t>SP and EPS </w:t>
      </w:r>
      <w:r>
        <w:rPr/>
        <w:t>is 0.741, significant at the 1% level, implying a strong positive association. This suggests that higher earnings per share tend to correspond with higher market valuations, reflecting investors’ responsiveness to profitability signals. Similarly, </w:t>
      </w:r>
      <w:r>
        <w:rPr>
          <w:b/>
        </w:rPr>
        <w:t>SP and BVPS </w:t>
      </w:r>
      <w:r>
        <w:rPr/>
        <w:t>exhibit a strong positive correlation of 0.638 (p&lt;0.01), indicating that firms with greater book value per share generally command higher share prices. These findings align with the premise that both earnings and asset base are key determinants of market valuation.</w:t>
      </w:r>
    </w:p>
    <w:p>
      <w:pPr>
        <w:pStyle w:val="BodyText"/>
        <w:spacing w:before="59"/>
        <w:ind w:right="364"/>
      </w:pPr>
      <w:r>
        <w:rPr/>
        <w:t>The correlation between </w:t>
      </w:r>
      <w:r>
        <w:rPr>
          <w:b/>
        </w:rPr>
        <w:t>SP and Free Cash Flow (FCF) </w:t>
      </w:r>
      <w:r>
        <w:rPr/>
        <w:t>is positive but moderate at 0.265 (p&lt;0.01), suggesting that while firms generating</w:t>
      </w:r>
      <w:r>
        <w:rPr>
          <w:spacing w:val="-5"/>
        </w:rPr>
        <w:t> </w:t>
      </w:r>
      <w:r>
        <w:rPr/>
        <w:t>higher</w:t>
      </w:r>
      <w:r>
        <w:rPr>
          <w:spacing w:val="-3"/>
        </w:rPr>
        <w:t> </w:t>
      </w:r>
      <w:r>
        <w:rPr/>
        <w:t>cash</w:t>
      </w:r>
      <w:r>
        <w:rPr>
          <w:spacing w:val="-3"/>
        </w:rPr>
        <w:t> </w:t>
      </w:r>
      <w:r>
        <w:rPr/>
        <w:t>after</w:t>
      </w:r>
      <w:r>
        <w:rPr>
          <w:spacing w:val="-3"/>
        </w:rPr>
        <w:t> </w:t>
      </w:r>
      <w:r>
        <w:rPr/>
        <w:t>capital</w:t>
      </w:r>
      <w:r>
        <w:rPr>
          <w:spacing w:val="-3"/>
        </w:rPr>
        <w:t> </w:t>
      </w:r>
      <w:r>
        <w:rPr/>
        <w:t>expenditures</w:t>
      </w:r>
      <w:r>
        <w:rPr>
          <w:spacing w:val="-4"/>
        </w:rPr>
        <w:t> </w:t>
      </w:r>
      <w:r>
        <w:rPr/>
        <w:t>tend</w:t>
      </w:r>
      <w:r>
        <w:rPr>
          <w:spacing w:val="-3"/>
        </w:rPr>
        <w:t> </w:t>
      </w:r>
      <w:r>
        <w:rPr/>
        <w:t>to</w:t>
      </w:r>
      <w:r>
        <w:rPr>
          <w:spacing w:val="-3"/>
        </w:rPr>
        <w:t> </w:t>
      </w:r>
      <w:r>
        <w:rPr/>
        <w:t>have</w:t>
      </w:r>
      <w:r>
        <w:rPr>
          <w:spacing w:val="-4"/>
        </w:rPr>
        <w:t> </w:t>
      </w:r>
      <w:r>
        <w:rPr/>
        <w:t>higher</w:t>
      </w:r>
      <w:r>
        <w:rPr>
          <w:spacing w:val="-3"/>
        </w:rPr>
        <w:t> </w:t>
      </w:r>
      <w:r>
        <w:rPr/>
        <w:t>market</w:t>
      </w:r>
      <w:r>
        <w:rPr>
          <w:spacing w:val="-3"/>
        </w:rPr>
        <w:t> </w:t>
      </w:r>
      <w:r>
        <w:rPr/>
        <w:t>values,</w:t>
      </w:r>
      <w:r>
        <w:rPr>
          <w:spacing w:val="-3"/>
        </w:rPr>
        <w:t> </w:t>
      </w:r>
      <w:r>
        <w:rPr/>
        <w:t>the</w:t>
      </w:r>
      <w:r>
        <w:rPr>
          <w:spacing w:val="-4"/>
        </w:rPr>
        <w:t> </w:t>
      </w:r>
      <w:r>
        <w:rPr/>
        <w:t>effect</w:t>
      </w:r>
      <w:r>
        <w:rPr>
          <w:spacing w:val="-3"/>
        </w:rPr>
        <w:t> </w:t>
      </w:r>
      <w:r>
        <w:rPr/>
        <w:t>is</w:t>
      </w:r>
      <w:r>
        <w:rPr>
          <w:spacing w:val="-3"/>
        </w:rPr>
        <w:t> </w:t>
      </w:r>
      <w:r>
        <w:rPr/>
        <w:t>less</w:t>
      </w:r>
      <w:r>
        <w:rPr>
          <w:spacing w:val="-3"/>
        </w:rPr>
        <w:t> </w:t>
      </w:r>
      <w:r>
        <w:rPr/>
        <w:t>pronounced</w:t>
      </w:r>
      <w:r>
        <w:rPr>
          <w:spacing w:val="-3"/>
        </w:rPr>
        <w:t> </w:t>
      </w:r>
      <w:r>
        <w:rPr/>
        <w:t>than</w:t>
      </w:r>
      <w:r>
        <w:rPr>
          <w:spacing w:val="-3"/>
        </w:rPr>
        <w:t> </w:t>
      </w:r>
      <w:r>
        <w:rPr/>
        <w:t>that of</w:t>
      </w:r>
      <w:r>
        <w:rPr>
          <w:spacing w:val="-3"/>
        </w:rPr>
        <w:t> </w:t>
      </w:r>
      <w:r>
        <w:rPr/>
        <w:t>EPS</w:t>
      </w:r>
      <w:r>
        <w:rPr>
          <w:spacing w:val="-3"/>
        </w:rPr>
        <w:t> </w:t>
      </w:r>
      <w:r>
        <w:rPr/>
        <w:t>or</w:t>
      </w:r>
      <w:r>
        <w:rPr>
          <w:spacing w:val="-6"/>
        </w:rPr>
        <w:t> </w:t>
      </w:r>
      <w:r>
        <w:rPr/>
        <w:t>BVPS. </w:t>
      </w:r>
      <w:r>
        <w:rPr>
          <w:b/>
        </w:rPr>
        <w:t>SP and Capital Expenditure Ratio (CER) </w:t>
      </w:r>
      <w:r>
        <w:rPr/>
        <w:t>show a moderate positive correlation of 0.346 (p&lt;0.01), indicating that firms reinvesting a greater proportion of cash into long-term assets tend to enjoy enhanced market valuation. The </w:t>
      </w:r>
      <w:r>
        <w:rPr>
          <w:b/>
        </w:rPr>
        <w:t>SP–Operating Cash Flow Ratio (OCFR) </w:t>
      </w:r>
      <w:r>
        <w:rPr/>
        <w:t>correlation is 0.264 (p&lt;0.01), reinforcing the relevance of operational liquidity in supporting investor confidence.</w:t>
      </w:r>
    </w:p>
    <w:p>
      <w:pPr>
        <w:spacing w:before="60"/>
        <w:ind w:left="369" w:right="364" w:firstLine="360"/>
        <w:jc w:val="both"/>
        <w:rPr>
          <w:sz w:val="18"/>
        </w:rPr>
      </w:pPr>
      <w:r>
        <w:rPr>
          <w:sz w:val="18"/>
        </w:rPr>
        <w:t>Interestingly, </w:t>
      </w:r>
      <w:r>
        <w:rPr>
          <w:b/>
          <w:sz w:val="18"/>
        </w:rPr>
        <w:t>SP exhibits a relatively weak positive correlation with firm size (0.258, p&lt;0.01)</w:t>
      </w:r>
      <w:r>
        <w:rPr>
          <w:sz w:val="18"/>
        </w:rPr>
        <w:t>, suggesting that larger firms are marginally more likely to have higher share prices, whereas the relationship with firm age is negligible (0.091, p&gt;0.1), indicating that maturity alone does not strongly influence market valuation within this sample.</w:t>
      </w:r>
    </w:p>
    <w:p>
      <w:pPr>
        <w:pStyle w:val="BodyText"/>
        <w:spacing w:before="61"/>
        <w:ind w:right="360"/>
      </w:pPr>
      <w:r>
        <w:rPr/>
        <w:t>Several</w:t>
      </w:r>
      <w:r>
        <w:rPr>
          <w:spacing w:val="-6"/>
        </w:rPr>
        <w:t> </w:t>
      </w:r>
      <w:r>
        <w:rPr/>
        <w:t>inter-variable</w:t>
      </w:r>
      <w:r>
        <w:rPr>
          <w:spacing w:val="-7"/>
        </w:rPr>
        <w:t> </w:t>
      </w:r>
      <w:r>
        <w:rPr/>
        <w:t>relationships</w:t>
      </w:r>
      <w:r>
        <w:rPr>
          <w:spacing w:val="-7"/>
        </w:rPr>
        <w:t> </w:t>
      </w:r>
      <w:r>
        <w:rPr/>
        <w:t>are</w:t>
      </w:r>
      <w:r>
        <w:rPr>
          <w:spacing w:val="-7"/>
        </w:rPr>
        <w:t> </w:t>
      </w:r>
      <w:r>
        <w:rPr/>
        <w:t>noteworthy.</w:t>
      </w:r>
      <w:r>
        <w:rPr>
          <w:spacing w:val="-6"/>
        </w:rPr>
        <w:t> </w:t>
      </w:r>
      <w:r>
        <w:rPr/>
        <w:t>FCF</w:t>
      </w:r>
      <w:r>
        <w:rPr>
          <w:spacing w:val="-6"/>
        </w:rPr>
        <w:t> </w:t>
      </w:r>
      <w:r>
        <w:rPr/>
        <w:t>and</w:t>
      </w:r>
      <w:r>
        <w:rPr>
          <w:spacing w:val="-6"/>
        </w:rPr>
        <w:t> </w:t>
      </w:r>
      <w:r>
        <w:rPr/>
        <w:t>OCFR</w:t>
      </w:r>
      <w:r>
        <w:rPr>
          <w:spacing w:val="-9"/>
        </w:rPr>
        <w:t> </w:t>
      </w:r>
      <w:r>
        <w:rPr/>
        <w:t>are</w:t>
      </w:r>
      <w:r>
        <w:rPr>
          <w:spacing w:val="-7"/>
        </w:rPr>
        <w:t> </w:t>
      </w:r>
      <w:r>
        <w:rPr/>
        <w:t>almost</w:t>
      </w:r>
      <w:r>
        <w:rPr>
          <w:spacing w:val="-7"/>
        </w:rPr>
        <w:t> </w:t>
      </w:r>
      <w:r>
        <w:rPr/>
        <w:t>perfectly</w:t>
      </w:r>
      <w:r>
        <w:rPr>
          <w:spacing w:val="-6"/>
        </w:rPr>
        <w:t> </w:t>
      </w:r>
      <w:r>
        <w:rPr/>
        <w:t>correlated</w:t>
      </w:r>
      <w:r>
        <w:rPr>
          <w:spacing w:val="-6"/>
        </w:rPr>
        <w:t> </w:t>
      </w:r>
      <w:r>
        <w:rPr/>
        <w:t>(0.998,</w:t>
      </w:r>
      <w:r>
        <w:rPr>
          <w:spacing w:val="-6"/>
        </w:rPr>
        <w:t> </w:t>
      </w:r>
      <w:r>
        <w:rPr/>
        <w:t>p&lt;0.01),</w:t>
      </w:r>
      <w:r>
        <w:rPr>
          <w:spacing w:val="-6"/>
        </w:rPr>
        <w:t> </w:t>
      </w:r>
      <w:r>
        <w:rPr/>
        <w:t>reflecting</w:t>
      </w:r>
      <w:r>
        <w:rPr>
          <w:spacing w:val="-6"/>
        </w:rPr>
        <w:t> </w:t>
      </w:r>
      <w:r>
        <w:rPr/>
        <w:t>the</w:t>
      </w:r>
      <w:r>
        <w:rPr>
          <w:spacing w:val="-7"/>
        </w:rPr>
        <w:t> </w:t>
      </w:r>
      <w:r>
        <w:rPr/>
        <w:t>close operational</w:t>
      </w:r>
      <w:r>
        <w:rPr>
          <w:spacing w:val="-2"/>
        </w:rPr>
        <w:t> </w:t>
      </w:r>
      <w:r>
        <w:rPr/>
        <w:t>linkage</w:t>
      </w:r>
      <w:r>
        <w:rPr>
          <w:spacing w:val="-3"/>
        </w:rPr>
        <w:t> </w:t>
      </w:r>
      <w:r>
        <w:rPr/>
        <w:t>between</w:t>
      </w:r>
      <w:r>
        <w:rPr>
          <w:spacing w:val="-1"/>
        </w:rPr>
        <w:t> </w:t>
      </w:r>
      <w:r>
        <w:rPr/>
        <w:t>cash</w:t>
      </w:r>
      <w:r>
        <w:rPr>
          <w:spacing w:val="-2"/>
        </w:rPr>
        <w:t> </w:t>
      </w:r>
      <w:r>
        <w:rPr/>
        <w:t>generation</w:t>
      </w:r>
      <w:r>
        <w:rPr>
          <w:spacing w:val="-1"/>
        </w:rPr>
        <w:t> </w:t>
      </w:r>
      <w:r>
        <w:rPr/>
        <w:t>and</w:t>
      </w:r>
      <w:r>
        <w:rPr>
          <w:spacing w:val="-1"/>
        </w:rPr>
        <w:t> </w:t>
      </w:r>
      <w:r>
        <w:rPr/>
        <w:t>free</w:t>
      </w:r>
      <w:r>
        <w:rPr>
          <w:spacing w:val="-3"/>
        </w:rPr>
        <w:t> </w:t>
      </w:r>
      <w:r>
        <w:rPr/>
        <w:t>cash</w:t>
      </w:r>
      <w:r>
        <w:rPr>
          <w:spacing w:val="-2"/>
        </w:rPr>
        <w:t> </w:t>
      </w:r>
      <w:r>
        <w:rPr/>
        <w:t>availability</w:t>
      </w:r>
      <w:r>
        <w:rPr>
          <w:spacing w:val="-1"/>
        </w:rPr>
        <w:t> </w:t>
      </w:r>
      <w:r>
        <w:rPr/>
        <w:t>after</w:t>
      </w:r>
      <w:r>
        <w:rPr>
          <w:spacing w:val="-2"/>
        </w:rPr>
        <w:t> </w:t>
      </w:r>
      <w:r>
        <w:rPr/>
        <w:t>reinvestment.</w:t>
      </w:r>
      <w:r>
        <w:rPr>
          <w:spacing w:val="-1"/>
        </w:rPr>
        <w:t> </w:t>
      </w:r>
      <w:r>
        <w:rPr/>
        <w:t>BVPS</w:t>
      </w:r>
      <w:r>
        <w:rPr>
          <w:spacing w:val="-1"/>
        </w:rPr>
        <w:t> </w:t>
      </w:r>
      <w:r>
        <w:rPr/>
        <w:t>shows</w:t>
      </w:r>
      <w:r>
        <w:rPr>
          <w:spacing w:val="-3"/>
        </w:rPr>
        <w:t> </w:t>
      </w:r>
      <w:r>
        <w:rPr/>
        <w:t>moderate</w:t>
      </w:r>
      <w:r>
        <w:rPr>
          <w:spacing w:val="-2"/>
        </w:rPr>
        <w:t> </w:t>
      </w:r>
      <w:r>
        <w:rPr/>
        <w:t>positive correlations</w:t>
      </w:r>
      <w:r>
        <w:rPr>
          <w:spacing w:val="-5"/>
        </w:rPr>
        <w:t> </w:t>
      </w:r>
      <w:r>
        <w:rPr/>
        <w:t>with EPS (0.469, p&lt;0.01) and firm age (0.294, p&lt;0.01), suggesting that more mature and profitable firms tend to have stronger asset bases. Overall, the correlation matrix highlights that profitability (EPS), asset value (BVPS), and reinvestment metrics (FCF, CER, OCFR) are positively associated with market valuation, while firm age plays a minimal role. The results provide preliminary evidence supporting the expected</w:t>
      </w:r>
      <w:r>
        <w:rPr>
          <w:spacing w:val="-3"/>
        </w:rPr>
        <w:t> </w:t>
      </w:r>
      <w:r>
        <w:rPr/>
        <w:t>value</w:t>
      </w:r>
      <w:r>
        <w:rPr>
          <w:spacing w:val="-4"/>
        </w:rPr>
        <w:t> </w:t>
      </w:r>
      <w:r>
        <w:rPr/>
        <w:t>relevance</w:t>
      </w:r>
      <w:r>
        <w:rPr>
          <w:spacing w:val="-4"/>
        </w:rPr>
        <w:t> </w:t>
      </w:r>
      <w:r>
        <w:rPr/>
        <w:t>of</w:t>
      </w:r>
      <w:r>
        <w:rPr>
          <w:spacing w:val="-3"/>
        </w:rPr>
        <w:t> </w:t>
      </w:r>
      <w:r>
        <w:rPr/>
        <w:t>cash</w:t>
      </w:r>
      <w:r>
        <w:rPr>
          <w:spacing w:val="-5"/>
        </w:rPr>
        <w:t> </w:t>
      </w:r>
      <w:r>
        <w:rPr/>
        <w:t>flow</w:t>
      </w:r>
      <w:r>
        <w:rPr>
          <w:spacing w:val="-4"/>
        </w:rPr>
        <w:t> </w:t>
      </w:r>
      <w:r>
        <w:rPr/>
        <w:t>and</w:t>
      </w:r>
      <w:r>
        <w:rPr>
          <w:spacing w:val="-2"/>
        </w:rPr>
        <w:t> </w:t>
      </w:r>
      <w:r>
        <w:rPr/>
        <w:t>accounting</w:t>
      </w:r>
      <w:r>
        <w:rPr>
          <w:spacing w:val="-2"/>
        </w:rPr>
        <w:t> </w:t>
      </w:r>
      <w:r>
        <w:rPr/>
        <w:t>measures</w:t>
      </w:r>
      <w:r>
        <w:rPr>
          <w:spacing w:val="-4"/>
        </w:rPr>
        <w:t> </w:t>
      </w:r>
      <w:r>
        <w:rPr/>
        <w:t>in</w:t>
      </w:r>
      <w:r>
        <w:rPr>
          <w:spacing w:val="-4"/>
        </w:rPr>
        <w:t> </w:t>
      </w:r>
      <w:r>
        <w:rPr/>
        <w:t>determining</w:t>
      </w:r>
      <w:r>
        <w:rPr>
          <w:spacing w:val="-2"/>
        </w:rPr>
        <w:t> </w:t>
      </w:r>
      <w:r>
        <w:rPr/>
        <w:t>share</w:t>
      </w:r>
      <w:r>
        <w:rPr>
          <w:spacing w:val="-4"/>
        </w:rPr>
        <w:t> </w:t>
      </w:r>
      <w:r>
        <w:rPr/>
        <w:t>prices</w:t>
      </w:r>
      <w:r>
        <w:rPr>
          <w:spacing w:val="-4"/>
        </w:rPr>
        <w:t> </w:t>
      </w:r>
      <w:r>
        <w:rPr/>
        <w:t>for</w:t>
      </w:r>
      <w:r>
        <w:rPr>
          <w:spacing w:val="-3"/>
        </w:rPr>
        <w:t> </w:t>
      </w:r>
      <w:r>
        <w:rPr/>
        <w:t>multinational</w:t>
      </w:r>
      <w:r>
        <w:rPr>
          <w:spacing w:val="-3"/>
        </w:rPr>
        <w:t> </w:t>
      </w:r>
      <w:r>
        <w:rPr/>
        <w:t>consumer</w:t>
      </w:r>
      <w:r>
        <w:rPr>
          <w:spacing w:val="-3"/>
        </w:rPr>
        <w:t> </w:t>
      </w:r>
      <w:r>
        <w:rPr/>
        <w:t>goods</w:t>
      </w:r>
      <w:r>
        <w:rPr>
          <w:spacing w:val="-4"/>
        </w:rPr>
        <w:t> </w:t>
      </w:r>
      <w:r>
        <w:rPr/>
        <w:t>firms</w:t>
      </w:r>
      <w:r>
        <w:rPr>
          <w:spacing w:val="-4"/>
        </w:rPr>
        <w:t> </w:t>
      </w:r>
      <w:r>
        <w:rPr/>
        <w:t>in</w:t>
      </w:r>
      <w:r>
        <w:rPr>
          <w:spacing w:val="-4"/>
        </w:rPr>
        <w:t> </w:t>
      </w:r>
      <w:r>
        <w:rPr/>
        <w:t>Sub-Saharan Africa.</w:t>
      </w:r>
    </w:p>
    <w:p>
      <w:pPr>
        <w:spacing w:before="101" w:after="38"/>
        <w:ind w:left="369" w:right="0" w:firstLine="0"/>
        <w:jc w:val="both"/>
        <w:rPr>
          <w:sz w:val="17"/>
        </w:rPr>
      </w:pPr>
      <w:r>
        <w:rPr>
          <w:b/>
          <w:sz w:val="17"/>
        </w:rPr>
        <w:t>Table</w:t>
      </w:r>
      <w:r>
        <w:rPr>
          <w:b/>
          <w:spacing w:val="-4"/>
          <w:sz w:val="17"/>
        </w:rPr>
        <w:t> </w:t>
      </w:r>
      <w:r>
        <w:rPr>
          <w:b/>
          <w:sz w:val="17"/>
        </w:rPr>
        <w:t>3:</w:t>
      </w:r>
      <w:r>
        <w:rPr>
          <w:b/>
          <w:spacing w:val="-3"/>
          <w:sz w:val="17"/>
        </w:rPr>
        <w:t> </w:t>
      </w:r>
      <w:r>
        <w:rPr>
          <w:sz w:val="17"/>
        </w:rPr>
        <w:t>cross</w:t>
      </w:r>
      <w:r>
        <w:rPr>
          <w:spacing w:val="-4"/>
          <w:sz w:val="17"/>
        </w:rPr>
        <w:t> </w:t>
      </w:r>
      <w:r>
        <w:rPr>
          <w:sz w:val="17"/>
        </w:rPr>
        <w:t>sectional</w:t>
      </w:r>
      <w:r>
        <w:rPr>
          <w:spacing w:val="-4"/>
          <w:sz w:val="17"/>
        </w:rPr>
        <w:t> </w:t>
      </w:r>
      <w:r>
        <w:rPr>
          <w:sz w:val="17"/>
        </w:rPr>
        <w:t>time</w:t>
      </w:r>
      <w:r>
        <w:rPr>
          <w:spacing w:val="-2"/>
          <w:sz w:val="17"/>
        </w:rPr>
        <w:t> </w:t>
      </w:r>
      <w:r>
        <w:rPr>
          <w:sz w:val="17"/>
        </w:rPr>
        <w:t>series</w:t>
      </w:r>
      <w:r>
        <w:rPr>
          <w:spacing w:val="-4"/>
          <w:sz w:val="17"/>
        </w:rPr>
        <w:t> </w:t>
      </w:r>
      <w:r>
        <w:rPr>
          <w:sz w:val="17"/>
        </w:rPr>
        <w:t>FGLS</w:t>
      </w:r>
      <w:r>
        <w:rPr>
          <w:spacing w:val="-2"/>
          <w:sz w:val="17"/>
        </w:rPr>
        <w:t> </w:t>
      </w:r>
      <w:r>
        <w:rPr>
          <w:sz w:val="17"/>
        </w:rPr>
        <w:t>Regression</w:t>
      </w:r>
      <w:r>
        <w:rPr>
          <w:spacing w:val="-3"/>
          <w:sz w:val="17"/>
        </w:rPr>
        <w:t> </w:t>
      </w:r>
      <w:r>
        <w:rPr>
          <w:spacing w:val="-2"/>
          <w:sz w:val="17"/>
        </w:rPr>
        <w:t>Result</w:t>
      </w:r>
    </w:p>
    <w:tbl>
      <w:tblPr>
        <w:tblW w:w="0" w:type="auto"/>
        <w:jc w:val="left"/>
        <w:tblInd w:w="994" w:type="dxa"/>
        <w:tblBorders>
          <w:top w:val="single" w:sz="4" w:space="0" w:color="8D8D8D"/>
          <w:left w:val="single" w:sz="4" w:space="0" w:color="8D8D8D"/>
          <w:bottom w:val="single" w:sz="4" w:space="0" w:color="8D8D8D"/>
          <w:right w:val="single" w:sz="4" w:space="0" w:color="8D8D8D"/>
          <w:insideH w:val="single" w:sz="4" w:space="0" w:color="8D8D8D"/>
          <w:insideV w:val="single" w:sz="4" w:space="0" w:color="8D8D8D"/>
        </w:tblBorders>
        <w:tblLayout w:type="fixed"/>
        <w:tblCellMar>
          <w:top w:w="0" w:type="dxa"/>
          <w:left w:w="0" w:type="dxa"/>
          <w:bottom w:w="0" w:type="dxa"/>
          <w:right w:w="0" w:type="dxa"/>
        </w:tblCellMar>
        <w:tblLook w:val="01E0"/>
      </w:tblPr>
      <w:tblGrid>
        <w:gridCol w:w="2305"/>
        <w:gridCol w:w="1772"/>
        <w:gridCol w:w="1772"/>
        <w:gridCol w:w="1441"/>
        <w:gridCol w:w="1512"/>
      </w:tblGrid>
      <w:tr>
        <w:trPr>
          <w:trHeight w:val="232" w:hRule="atLeast"/>
        </w:trPr>
        <w:tc>
          <w:tcPr>
            <w:tcW w:w="2305" w:type="dxa"/>
            <w:shd w:val="clear" w:color="auto" w:fill="E7E7E7"/>
          </w:tcPr>
          <w:p>
            <w:pPr>
              <w:pStyle w:val="TableParagraph"/>
              <w:ind w:left="35"/>
              <w:jc w:val="left"/>
              <w:rPr>
                <w:b/>
                <w:sz w:val="14"/>
              </w:rPr>
            </w:pPr>
            <w:r>
              <w:rPr>
                <w:b/>
                <w:spacing w:val="-2"/>
                <w:sz w:val="14"/>
              </w:rPr>
              <w:t>Variable</w:t>
            </w:r>
          </w:p>
        </w:tc>
        <w:tc>
          <w:tcPr>
            <w:tcW w:w="1772" w:type="dxa"/>
            <w:shd w:val="clear" w:color="auto" w:fill="E7E7E7"/>
          </w:tcPr>
          <w:p>
            <w:pPr>
              <w:pStyle w:val="TableParagraph"/>
              <w:ind w:left="9" w:right="1"/>
              <w:rPr>
                <w:b/>
                <w:sz w:val="14"/>
              </w:rPr>
            </w:pPr>
            <w:r>
              <w:rPr>
                <w:b/>
                <w:spacing w:val="-4"/>
                <w:sz w:val="14"/>
              </w:rPr>
              <w:t>Coef.</w:t>
            </w:r>
          </w:p>
        </w:tc>
        <w:tc>
          <w:tcPr>
            <w:tcW w:w="1772" w:type="dxa"/>
            <w:shd w:val="clear" w:color="auto" w:fill="E7E7E7"/>
          </w:tcPr>
          <w:p>
            <w:pPr>
              <w:pStyle w:val="TableParagraph"/>
              <w:ind w:left="9" w:right="2"/>
              <w:rPr>
                <w:b/>
                <w:sz w:val="14"/>
              </w:rPr>
            </w:pPr>
            <w:r>
              <w:rPr>
                <w:b/>
                <w:sz w:val="14"/>
              </w:rPr>
              <w:t>Std.</w:t>
            </w:r>
            <w:r>
              <w:rPr>
                <w:b/>
                <w:spacing w:val="-4"/>
                <w:sz w:val="14"/>
              </w:rPr>
              <w:t> Err.</w:t>
            </w:r>
          </w:p>
        </w:tc>
        <w:tc>
          <w:tcPr>
            <w:tcW w:w="1441" w:type="dxa"/>
            <w:shd w:val="clear" w:color="auto" w:fill="E7E7E7"/>
          </w:tcPr>
          <w:p>
            <w:pPr>
              <w:pStyle w:val="TableParagraph"/>
              <w:ind w:left="6"/>
              <w:rPr>
                <w:b/>
                <w:sz w:val="14"/>
              </w:rPr>
            </w:pPr>
            <w:r>
              <w:rPr>
                <w:b/>
                <w:spacing w:val="-10"/>
                <w:sz w:val="14"/>
              </w:rPr>
              <w:t>Z</w:t>
            </w:r>
          </w:p>
        </w:tc>
        <w:tc>
          <w:tcPr>
            <w:tcW w:w="1512" w:type="dxa"/>
            <w:shd w:val="clear" w:color="auto" w:fill="E7E7E7"/>
          </w:tcPr>
          <w:p>
            <w:pPr>
              <w:pStyle w:val="TableParagraph"/>
              <w:ind w:left="7" w:right="3"/>
              <w:rPr>
                <w:b/>
                <w:sz w:val="14"/>
              </w:rPr>
            </w:pPr>
            <w:r>
              <w:rPr>
                <w:b/>
                <w:spacing w:val="-5"/>
                <w:sz w:val="14"/>
              </w:rPr>
              <w:t>P&gt;</w:t>
            </w:r>
          </w:p>
        </w:tc>
      </w:tr>
      <w:tr>
        <w:trPr>
          <w:trHeight w:val="230" w:hRule="atLeast"/>
        </w:trPr>
        <w:tc>
          <w:tcPr>
            <w:tcW w:w="2305" w:type="dxa"/>
          </w:tcPr>
          <w:p>
            <w:pPr>
              <w:pStyle w:val="TableParagraph"/>
              <w:ind w:left="35"/>
              <w:jc w:val="left"/>
              <w:rPr>
                <w:sz w:val="14"/>
              </w:rPr>
            </w:pPr>
            <w:r>
              <w:rPr>
                <w:spacing w:val="-5"/>
                <w:sz w:val="14"/>
              </w:rPr>
              <w:t>EPS</w:t>
            </w:r>
          </w:p>
        </w:tc>
        <w:tc>
          <w:tcPr>
            <w:tcW w:w="1772" w:type="dxa"/>
          </w:tcPr>
          <w:p>
            <w:pPr>
              <w:pStyle w:val="TableParagraph"/>
              <w:ind w:left="9" w:right="4"/>
              <w:rPr>
                <w:sz w:val="14"/>
              </w:rPr>
            </w:pPr>
            <w:r>
              <w:rPr>
                <w:spacing w:val="-2"/>
                <w:sz w:val="14"/>
              </w:rPr>
              <w:t>0.0499816</w:t>
            </w:r>
          </w:p>
        </w:tc>
        <w:tc>
          <w:tcPr>
            <w:tcW w:w="1772" w:type="dxa"/>
          </w:tcPr>
          <w:p>
            <w:pPr>
              <w:pStyle w:val="TableParagraph"/>
              <w:ind w:left="9" w:right="5"/>
              <w:rPr>
                <w:sz w:val="14"/>
              </w:rPr>
            </w:pPr>
            <w:r>
              <w:rPr>
                <w:spacing w:val="-2"/>
                <w:sz w:val="14"/>
              </w:rPr>
              <w:t>0.0108366</w:t>
            </w:r>
          </w:p>
        </w:tc>
        <w:tc>
          <w:tcPr>
            <w:tcW w:w="1441" w:type="dxa"/>
          </w:tcPr>
          <w:p>
            <w:pPr>
              <w:pStyle w:val="TableParagraph"/>
              <w:ind w:left="5"/>
              <w:rPr>
                <w:sz w:val="14"/>
              </w:rPr>
            </w:pPr>
            <w:r>
              <w:rPr>
                <w:spacing w:val="-4"/>
                <w:sz w:val="14"/>
              </w:rPr>
              <w:t>4.61</w:t>
            </w:r>
          </w:p>
        </w:tc>
        <w:tc>
          <w:tcPr>
            <w:tcW w:w="1512" w:type="dxa"/>
          </w:tcPr>
          <w:p>
            <w:pPr>
              <w:pStyle w:val="TableParagraph"/>
              <w:ind w:left="7"/>
              <w:rPr>
                <w:sz w:val="14"/>
              </w:rPr>
            </w:pPr>
            <w:r>
              <w:rPr>
                <w:spacing w:val="-2"/>
                <w:sz w:val="14"/>
              </w:rPr>
              <w:t>0.000</w:t>
            </w:r>
          </w:p>
        </w:tc>
      </w:tr>
      <w:tr>
        <w:trPr>
          <w:trHeight w:val="232" w:hRule="atLeast"/>
        </w:trPr>
        <w:tc>
          <w:tcPr>
            <w:tcW w:w="2305" w:type="dxa"/>
          </w:tcPr>
          <w:p>
            <w:pPr>
              <w:pStyle w:val="TableParagraph"/>
              <w:ind w:left="35"/>
              <w:jc w:val="left"/>
              <w:rPr>
                <w:sz w:val="14"/>
              </w:rPr>
            </w:pPr>
            <w:r>
              <w:rPr>
                <w:spacing w:val="-4"/>
                <w:sz w:val="14"/>
              </w:rPr>
              <w:t>BVPS</w:t>
            </w:r>
          </w:p>
        </w:tc>
        <w:tc>
          <w:tcPr>
            <w:tcW w:w="1772" w:type="dxa"/>
          </w:tcPr>
          <w:p>
            <w:pPr>
              <w:pStyle w:val="TableParagraph"/>
              <w:ind w:left="9" w:right="2"/>
              <w:rPr>
                <w:sz w:val="14"/>
              </w:rPr>
            </w:pPr>
            <w:r>
              <w:rPr>
                <w:spacing w:val="-2"/>
                <w:sz w:val="14"/>
              </w:rPr>
              <w:t>2.993886</w:t>
            </w:r>
          </w:p>
        </w:tc>
        <w:tc>
          <w:tcPr>
            <w:tcW w:w="1772" w:type="dxa"/>
          </w:tcPr>
          <w:p>
            <w:pPr>
              <w:pStyle w:val="TableParagraph"/>
              <w:ind w:left="9" w:right="5"/>
              <w:rPr>
                <w:sz w:val="14"/>
              </w:rPr>
            </w:pPr>
            <w:r>
              <w:rPr>
                <w:spacing w:val="-2"/>
                <w:sz w:val="14"/>
              </w:rPr>
              <w:t>0.3037546</w:t>
            </w:r>
          </w:p>
        </w:tc>
        <w:tc>
          <w:tcPr>
            <w:tcW w:w="1441" w:type="dxa"/>
          </w:tcPr>
          <w:p>
            <w:pPr>
              <w:pStyle w:val="TableParagraph"/>
              <w:ind w:left="5"/>
              <w:rPr>
                <w:sz w:val="14"/>
              </w:rPr>
            </w:pPr>
            <w:r>
              <w:rPr>
                <w:spacing w:val="-4"/>
                <w:sz w:val="14"/>
              </w:rPr>
              <w:t>9.86</w:t>
            </w:r>
          </w:p>
        </w:tc>
        <w:tc>
          <w:tcPr>
            <w:tcW w:w="1512" w:type="dxa"/>
          </w:tcPr>
          <w:p>
            <w:pPr>
              <w:pStyle w:val="TableParagraph"/>
              <w:ind w:left="7"/>
              <w:rPr>
                <w:sz w:val="14"/>
              </w:rPr>
            </w:pPr>
            <w:r>
              <w:rPr>
                <w:spacing w:val="-2"/>
                <w:sz w:val="14"/>
              </w:rPr>
              <w:t>0.000</w:t>
            </w:r>
          </w:p>
        </w:tc>
      </w:tr>
      <w:tr>
        <w:trPr>
          <w:trHeight w:val="230" w:hRule="atLeast"/>
        </w:trPr>
        <w:tc>
          <w:tcPr>
            <w:tcW w:w="2305" w:type="dxa"/>
          </w:tcPr>
          <w:p>
            <w:pPr>
              <w:pStyle w:val="TableParagraph"/>
              <w:spacing w:before="32"/>
              <w:ind w:left="35"/>
              <w:jc w:val="left"/>
              <w:rPr>
                <w:sz w:val="14"/>
              </w:rPr>
            </w:pPr>
            <w:r>
              <w:rPr>
                <w:spacing w:val="-5"/>
                <w:sz w:val="14"/>
              </w:rPr>
              <w:t>FCF</w:t>
            </w:r>
          </w:p>
        </w:tc>
        <w:tc>
          <w:tcPr>
            <w:tcW w:w="1772" w:type="dxa"/>
          </w:tcPr>
          <w:p>
            <w:pPr>
              <w:pStyle w:val="TableParagraph"/>
              <w:spacing w:before="32"/>
              <w:ind w:left="9" w:right="2"/>
              <w:rPr>
                <w:sz w:val="14"/>
              </w:rPr>
            </w:pPr>
            <w:r>
              <w:rPr>
                <w:spacing w:val="-2"/>
                <w:sz w:val="14"/>
              </w:rPr>
              <w:t>-100.156</w:t>
            </w:r>
          </w:p>
        </w:tc>
        <w:tc>
          <w:tcPr>
            <w:tcW w:w="1772" w:type="dxa"/>
          </w:tcPr>
          <w:p>
            <w:pPr>
              <w:pStyle w:val="TableParagraph"/>
              <w:spacing w:before="32"/>
              <w:ind w:left="9" w:right="3"/>
              <w:rPr>
                <w:sz w:val="14"/>
              </w:rPr>
            </w:pPr>
            <w:r>
              <w:rPr>
                <w:spacing w:val="-2"/>
                <w:sz w:val="14"/>
              </w:rPr>
              <w:t>542.0382</w:t>
            </w:r>
          </w:p>
        </w:tc>
        <w:tc>
          <w:tcPr>
            <w:tcW w:w="1441" w:type="dxa"/>
          </w:tcPr>
          <w:p>
            <w:pPr>
              <w:pStyle w:val="TableParagraph"/>
              <w:spacing w:before="32"/>
              <w:ind w:left="2"/>
              <w:rPr>
                <w:sz w:val="14"/>
              </w:rPr>
            </w:pPr>
            <w:r>
              <w:rPr>
                <w:spacing w:val="-2"/>
                <w:sz w:val="14"/>
              </w:rPr>
              <w:t>-</w:t>
            </w:r>
            <w:r>
              <w:rPr>
                <w:spacing w:val="-4"/>
                <w:sz w:val="14"/>
              </w:rPr>
              <w:t>0.18</w:t>
            </w:r>
          </w:p>
        </w:tc>
        <w:tc>
          <w:tcPr>
            <w:tcW w:w="1512" w:type="dxa"/>
          </w:tcPr>
          <w:p>
            <w:pPr>
              <w:pStyle w:val="TableParagraph"/>
              <w:spacing w:before="32"/>
              <w:ind w:left="7"/>
              <w:rPr>
                <w:sz w:val="14"/>
              </w:rPr>
            </w:pPr>
            <w:r>
              <w:rPr>
                <w:spacing w:val="-2"/>
                <w:sz w:val="14"/>
              </w:rPr>
              <w:t>0.757</w:t>
            </w:r>
          </w:p>
        </w:tc>
      </w:tr>
      <w:tr>
        <w:trPr>
          <w:trHeight w:val="232" w:hRule="atLeast"/>
        </w:trPr>
        <w:tc>
          <w:tcPr>
            <w:tcW w:w="2305" w:type="dxa"/>
          </w:tcPr>
          <w:p>
            <w:pPr>
              <w:pStyle w:val="TableParagraph"/>
              <w:ind w:left="35"/>
              <w:jc w:val="left"/>
              <w:rPr>
                <w:sz w:val="14"/>
              </w:rPr>
            </w:pPr>
            <w:r>
              <w:rPr>
                <w:spacing w:val="-5"/>
                <w:sz w:val="14"/>
              </w:rPr>
              <w:t>CER</w:t>
            </w:r>
          </w:p>
        </w:tc>
        <w:tc>
          <w:tcPr>
            <w:tcW w:w="1772" w:type="dxa"/>
          </w:tcPr>
          <w:p>
            <w:pPr>
              <w:pStyle w:val="TableParagraph"/>
              <w:ind w:left="9" w:right="2"/>
              <w:rPr>
                <w:sz w:val="14"/>
              </w:rPr>
            </w:pPr>
            <w:r>
              <w:rPr>
                <w:spacing w:val="-2"/>
                <w:sz w:val="14"/>
              </w:rPr>
              <w:t>8.378912</w:t>
            </w:r>
          </w:p>
        </w:tc>
        <w:tc>
          <w:tcPr>
            <w:tcW w:w="1772" w:type="dxa"/>
          </w:tcPr>
          <w:p>
            <w:pPr>
              <w:pStyle w:val="TableParagraph"/>
              <w:ind w:left="9" w:right="3"/>
              <w:rPr>
                <w:sz w:val="14"/>
              </w:rPr>
            </w:pPr>
            <w:r>
              <w:rPr>
                <w:spacing w:val="-2"/>
                <w:sz w:val="14"/>
              </w:rPr>
              <w:t>1.516678</w:t>
            </w:r>
          </w:p>
        </w:tc>
        <w:tc>
          <w:tcPr>
            <w:tcW w:w="1441" w:type="dxa"/>
          </w:tcPr>
          <w:p>
            <w:pPr>
              <w:pStyle w:val="TableParagraph"/>
              <w:ind w:left="5"/>
              <w:rPr>
                <w:sz w:val="14"/>
              </w:rPr>
            </w:pPr>
            <w:r>
              <w:rPr>
                <w:spacing w:val="-4"/>
                <w:sz w:val="14"/>
              </w:rPr>
              <w:t>5.52</w:t>
            </w:r>
          </w:p>
        </w:tc>
        <w:tc>
          <w:tcPr>
            <w:tcW w:w="1512" w:type="dxa"/>
          </w:tcPr>
          <w:p>
            <w:pPr>
              <w:pStyle w:val="TableParagraph"/>
              <w:ind w:left="7"/>
              <w:rPr>
                <w:sz w:val="14"/>
              </w:rPr>
            </w:pPr>
            <w:r>
              <w:rPr>
                <w:spacing w:val="-2"/>
                <w:sz w:val="14"/>
              </w:rPr>
              <w:t>0.000</w:t>
            </w:r>
          </w:p>
        </w:tc>
      </w:tr>
      <w:tr>
        <w:trPr>
          <w:trHeight w:val="230" w:hRule="atLeast"/>
        </w:trPr>
        <w:tc>
          <w:tcPr>
            <w:tcW w:w="2305" w:type="dxa"/>
          </w:tcPr>
          <w:p>
            <w:pPr>
              <w:pStyle w:val="TableParagraph"/>
              <w:spacing w:before="33"/>
              <w:ind w:left="35"/>
              <w:jc w:val="left"/>
              <w:rPr>
                <w:sz w:val="14"/>
              </w:rPr>
            </w:pPr>
            <w:r>
              <w:rPr>
                <w:spacing w:val="-4"/>
                <w:sz w:val="14"/>
              </w:rPr>
              <w:t>OCFR</w:t>
            </w:r>
          </w:p>
        </w:tc>
        <w:tc>
          <w:tcPr>
            <w:tcW w:w="1772" w:type="dxa"/>
          </w:tcPr>
          <w:p>
            <w:pPr>
              <w:pStyle w:val="TableParagraph"/>
              <w:spacing w:before="33"/>
              <w:ind w:left="9" w:right="2"/>
              <w:rPr>
                <w:sz w:val="14"/>
              </w:rPr>
            </w:pPr>
            <w:r>
              <w:rPr>
                <w:spacing w:val="-2"/>
                <w:sz w:val="14"/>
              </w:rPr>
              <w:t>20.47328</w:t>
            </w:r>
          </w:p>
        </w:tc>
        <w:tc>
          <w:tcPr>
            <w:tcW w:w="1772" w:type="dxa"/>
          </w:tcPr>
          <w:p>
            <w:pPr>
              <w:pStyle w:val="TableParagraph"/>
              <w:spacing w:before="33"/>
              <w:ind w:left="9" w:right="3"/>
              <w:rPr>
                <w:sz w:val="14"/>
              </w:rPr>
            </w:pPr>
            <w:r>
              <w:rPr>
                <w:spacing w:val="-2"/>
                <w:sz w:val="14"/>
              </w:rPr>
              <w:t>10.13528</w:t>
            </w:r>
          </w:p>
        </w:tc>
        <w:tc>
          <w:tcPr>
            <w:tcW w:w="1441" w:type="dxa"/>
          </w:tcPr>
          <w:p>
            <w:pPr>
              <w:pStyle w:val="TableParagraph"/>
              <w:spacing w:before="33"/>
              <w:ind w:left="5"/>
              <w:rPr>
                <w:sz w:val="14"/>
              </w:rPr>
            </w:pPr>
            <w:r>
              <w:rPr>
                <w:spacing w:val="-4"/>
                <w:sz w:val="14"/>
              </w:rPr>
              <w:t>2.02</w:t>
            </w:r>
          </w:p>
        </w:tc>
        <w:tc>
          <w:tcPr>
            <w:tcW w:w="1512" w:type="dxa"/>
          </w:tcPr>
          <w:p>
            <w:pPr>
              <w:pStyle w:val="TableParagraph"/>
              <w:spacing w:before="33"/>
              <w:ind w:left="7"/>
              <w:rPr>
                <w:sz w:val="14"/>
              </w:rPr>
            </w:pPr>
            <w:r>
              <w:rPr>
                <w:spacing w:val="-2"/>
                <w:sz w:val="14"/>
              </w:rPr>
              <w:t>0.043</w:t>
            </w:r>
          </w:p>
        </w:tc>
      </w:tr>
      <w:tr>
        <w:trPr>
          <w:trHeight w:val="230" w:hRule="atLeast"/>
        </w:trPr>
        <w:tc>
          <w:tcPr>
            <w:tcW w:w="2305" w:type="dxa"/>
          </w:tcPr>
          <w:p>
            <w:pPr>
              <w:pStyle w:val="TableParagraph"/>
              <w:ind w:left="35"/>
              <w:jc w:val="left"/>
              <w:rPr>
                <w:sz w:val="14"/>
              </w:rPr>
            </w:pPr>
            <w:r>
              <w:rPr>
                <w:spacing w:val="-2"/>
                <w:sz w:val="14"/>
              </w:rPr>
              <w:t>LNSIZE</w:t>
            </w:r>
          </w:p>
        </w:tc>
        <w:tc>
          <w:tcPr>
            <w:tcW w:w="1772" w:type="dxa"/>
          </w:tcPr>
          <w:p>
            <w:pPr>
              <w:pStyle w:val="TableParagraph"/>
              <w:ind w:left="9" w:right="4"/>
              <w:rPr>
                <w:sz w:val="14"/>
              </w:rPr>
            </w:pPr>
            <w:r>
              <w:rPr>
                <w:spacing w:val="-2"/>
                <w:sz w:val="14"/>
              </w:rPr>
              <w:t>0.0649552</w:t>
            </w:r>
          </w:p>
        </w:tc>
        <w:tc>
          <w:tcPr>
            <w:tcW w:w="1772" w:type="dxa"/>
          </w:tcPr>
          <w:p>
            <w:pPr>
              <w:pStyle w:val="TableParagraph"/>
              <w:ind w:left="9" w:right="3"/>
              <w:rPr>
                <w:sz w:val="14"/>
              </w:rPr>
            </w:pPr>
            <w:r>
              <w:rPr>
                <w:spacing w:val="-2"/>
                <w:sz w:val="14"/>
              </w:rPr>
              <w:t>3.912536</w:t>
            </w:r>
          </w:p>
        </w:tc>
        <w:tc>
          <w:tcPr>
            <w:tcW w:w="1441" w:type="dxa"/>
          </w:tcPr>
          <w:p>
            <w:pPr>
              <w:pStyle w:val="TableParagraph"/>
              <w:ind w:left="5"/>
              <w:rPr>
                <w:sz w:val="14"/>
              </w:rPr>
            </w:pPr>
            <w:r>
              <w:rPr>
                <w:spacing w:val="-4"/>
                <w:sz w:val="14"/>
              </w:rPr>
              <w:t>0.02</w:t>
            </w:r>
          </w:p>
        </w:tc>
        <w:tc>
          <w:tcPr>
            <w:tcW w:w="1512" w:type="dxa"/>
          </w:tcPr>
          <w:p>
            <w:pPr>
              <w:pStyle w:val="TableParagraph"/>
              <w:ind w:left="7"/>
              <w:rPr>
                <w:sz w:val="14"/>
              </w:rPr>
            </w:pPr>
            <w:r>
              <w:rPr>
                <w:spacing w:val="-2"/>
                <w:sz w:val="14"/>
              </w:rPr>
              <w:t>0.987</w:t>
            </w:r>
          </w:p>
        </w:tc>
      </w:tr>
      <w:tr>
        <w:trPr>
          <w:trHeight w:val="232" w:hRule="atLeast"/>
        </w:trPr>
        <w:tc>
          <w:tcPr>
            <w:tcW w:w="2305" w:type="dxa"/>
          </w:tcPr>
          <w:p>
            <w:pPr>
              <w:pStyle w:val="TableParagraph"/>
              <w:ind w:left="35"/>
              <w:jc w:val="left"/>
              <w:rPr>
                <w:sz w:val="14"/>
              </w:rPr>
            </w:pPr>
            <w:r>
              <w:rPr>
                <w:spacing w:val="-5"/>
                <w:sz w:val="14"/>
              </w:rPr>
              <w:t>AGE</w:t>
            </w:r>
          </w:p>
        </w:tc>
        <w:tc>
          <w:tcPr>
            <w:tcW w:w="1772" w:type="dxa"/>
          </w:tcPr>
          <w:p>
            <w:pPr>
              <w:pStyle w:val="TableParagraph"/>
              <w:ind w:left="9" w:right="2"/>
              <w:rPr>
                <w:sz w:val="14"/>
              </w:rPr>
            </w:pPr>
            <w:r>
              <w:rPr>
                <w:spacing w:val="-2"/>
                <w:sz w:val="14"/>
              </w:rPr>
              <w:t>-0.4926173</w:t>
            </w:r>
          </w:p>
        </w:tc>
        <w:tc>
          <w:tcPr>
            <w:tcW w:w="1772" w:type="dxa"/>
          </w:tcPr>
          <w:p>
            <w:pPr>
              <w:pStyle w:val="TableParagraph"/>
              <w:ind w:left="9" w:right="5"/>
              <w:rPr>
                <w:sz w:val="14"/>
              </w:rPr>
            </w:pPr>
            <w:r>
              <w:rPr>
                <w:spacing w:val="-2"/>
                <w:sz w:val="14"/>
              </w:rPr>
              <w:t>0.9523713</w:t>
            </w:r>
          </w:p>
        </w:tc>
        <w:tc>
          <w:tcPr>
            <w:tcW w:w="1441" w:type="dxa"/>
          </w:tcPr>
          <w:p>
            <w:pPr>
              <w:pStyle w:val="TableParagraph"/>
              <w:ind w:left="2"/>
              <w:rPr>
                <w:sz w:val="14"/>
              </w:rPr>
            </w:pPr>
            <w:r>
              <w:rPr>
                <w:spacing w:val="-2"/>
                <w:sz w:val="14"/>
              </w:rPr>
              <w:t>-</w:t>
            </w:r>
            <w:r>
              <w:rPr>
                <w:spacing w:val="-4"/>
                <w:sz w:val="14"/>
              </w:rPr>
              <w:t>0.52</w:t>
            </w:r>
          </w:p>
        </w:tc>
        <w:tc>
          <w:tcPr>
            <w:tcW w:w="1512" w:type="dxa"/>
          </w:tcPr>
          <w:p>
            <w:pPr>
              <w:pStyle w:val="TableParagraph"/>
              <w:ind w:left="7"/>
              <w:rPr>
                <w:sz w:val="14"/>
              </w:rPr>
            </w:pPr>
            <w:r>
              <w:rPr>
                <w:spacing w:val="-2"/>
                <w:sz w:val="14"/>
              </w:rPr>
              <w:t>0.605</w:t>
            </w:r>
          </w:p>
        </w:tc>
      </w:tr>
      <w:tr>
        <w:trPr>
          <w:trHeight w:val="230" w:hRule="atLeast"/>
        </w:trPr>
        <w:tc>
          <w:tcPr>
            <w:tcW w:w="2305" w:type="dxa"/>
          </w:tcPr>
          <w:p>
            <w:pPr>
              <w:pStyle w:val="TableParagraph"/>
              <w:spacing w:before="32"/>
              <w:ind w:left="35"/>
              <w:jc w:val="left"/>
              <w:rPr>
                <w:sz w:val="14"/>
              </w:rPr>
            </w:pPr>
            <w:r>
              <w:rPr>
                <w:spacing w:val="-4"/>
                <w:sz w:val="14"/>
              </w:rPr>
              <w:t>CONS</w:t>
            </w:r>
          </w:p>
        </w:tc>
        <w:tc>
          <w:tcPr>
            <w:tcW w:w="1772" w:type="dxa"/>
          </w:tcPr>
          <w:p>
            <w:pPr>
              <w:pStyle w:val="TableParagraph"/>
              <w:spacing w:before="32"/>
              <w:ind w:left="9" w:right="4"/>
              <w:rPr>
                <w:sz w:val="14"/>
              </w:rPr>
            </w:pPr>
            <w:r>
              <w:rPr>
                <w:spacing w:val="-2"/>
                <w:sz w:val="14"/>
              </w:rPr>
              <w:t>-4.565282</w:t>
            </w:r>
          </w:p>
        </w:tc>
        <w:tc>
          <w:tcPr>
            <w:tcW w:w="1772" w:type="dxa"/>
          </w:tcPr>
          <w:p>
            <w:pPr>
              <w:pStyle w:val="TableParagraph"/>
              <w:spacing w:before="32"/>
              <w:ind w:left="9" w:right="3"/>
              <w:rPr>
                <w:sz w:val="14"/>
              </w:rPr>
            </w:pPr>
            <w:r>
              <w:rPr>
                <w:spacing w:val="-2"/>
                <w:sz w:val="14"/>
              </w:rPr>
              <w:t>61.26019</w:t>
            </w:r>
          </w:p>
        </w:tc>
        <w:tc>
          <w:tcPr>
            <w:tcW w:w="1441" w:type="dxa"/>
          </w:tcPr>
          <w:p>
            <w:pPr>
              <w:pStyle w:val="TableParagraph"/>
              <w:spacing w:before="32"/>
              <w:ind w:left="2"/>
              <w:rPr>
                <w:sz w:val="14"/>
              </w:rPr>
            </w:pPr>
            <w:r>
              <w:rPr>
                <w:spacing w:val="-2"/>
                <w:sz w:val="14"/>
              </w:rPr>
              <w:t>-</w:t>
            </w:r>
            <w:r>
              <w:rPr>
                <w:spacing w:val="-4"/>
                <w:sz w:val="14"/>
              </w:rPr>
              <w:t>0.07</w:t>
            </w:r>
          </w:p>
        </w:tc>
        <w:tc>
          <w:tcPr>
            <w:tcW w:w="1512" w:type="dxa"/>
          </w:tcPr>
          <w:p>
            <w:pPr>
              <w:pStyle w:val="TableParagraph"/>
              <w:spacing w:before="32"/>
              <w:ind w:left="7"/>
              <w:rPr>
                <w:sz w:val="14"/>
              </w:rPr>
            </w:pPr>
            <w:r>
              <w:rPr>
                <w:spacing w:val="-2"/>
                <w:sz w:val="14"/>
              </w:rPr>
              <w:t>0.941</w:t>
            </w:r>
          </w:p>
        </w:tc>
      </w:tr>
      <w:tr>
        <w:trPr>
          <w:trHeight w:val="393" w:hRule="atLeast"/>
        </w:trPr>
        <w:tc>
          <w:tcPr>
            <w:tcW w:w="2305" w:type="dxa"/>
          </w:tcPr>
          <w:p>
            <w:pPr>
              <w:pStyle w:val="TableParagraph"/>
              <w:ind w:left="35" w:right="1638"/>
              <w:jc w:val="left"/>
              <w:rPr>
                <w:sz w:val="14"/>
              </w:rPr>
            </w:pPr>
            <w:r>
              <w:rPr>
                <w:sz w:val="14"/>
              </w:rPr>
              <w:t>Wald</w:t>
            </w:r>
            <w:r>
              <w:rPr>
                <w:spacing w:val="-9"/>
                <w:sz w:val="14"/>
              </w:rPr>
              <w:t> </w:t>
            </w:r>
            <w:r>
              <w:rPr>
                <w:sz w:val="14"/>
              </w:rPr>
              <w:t>Chi2</w:t>
            </w:r>
            <w:r>
              <w:rPr>
                <w:spacing w:val="40"/>
                <w:sz w:val="14"/>
              </w:rPr>
              <w:t> </w:t>
            </w:r>
            <w:r>
              <w:rPr>
                <w:spacing w:val="-2"/>
                <w:sz w:val="14"/>
              </w:rPr>
              <w:t>190.38</w:t>
            </w:r>
          </w:p>
        </w:tc>
        <w:tc>
          <w:tcPr>
            <w:tcW w:w="1772" w:type="dxa"/>
          </w:tcPr>
          <w:p>
            <w:pPr>
              <w:pStyle w:val="TableParagraph"/>
              <w:ind w:left="692" w:right="561" w:hanging="113"/>
              <w:jc w:val="left"/>
              <w:rPr>
                <w:sz w:val="14"/>
              </w:rPr>
            </w:pPr>
            <w:r>
              <w:rPr>
                <w:sz w:val="14"/>
              </w:rPr>
              <w:t>Wald</w:t>
            </w:r>
            <w:r>
              <w:rPr>
                <w:spacing w:val="-9"/>
                <w:sz w:val="14"/>
              </w:rPr>
              <w:t> </w:t>
            </w:r>
            <w:r>
              <w:rPr>
                <w:sz w:val="14"/>
              </w:rPr>
              <w:t>Chi2</w:t>
            </w:r>
            <w:r>
              <w:rPr>
                <w:spacing w:val="40"/>
                <w:sz w:val="14"/>
              </w:rPr>
              <w:t> </w:t>
            </w:r>
            <w:r>
              <w:rPr>
                <w:spacing w:val="-2"/>
                <w:sz w:val="14"/>
              </w:rPr>
              <w:t>190.38</w:t>
            </w:r>
          </w:p>
        </w:tc>
        <w:tc>
          <w:tcPr>
            <w:tcW w:w="1772" w:type="dxa"/>
          </w:tcPr>
          <w:p>
            <w:pPr>
              <w:pStyle w:val="TableParagraph"/>
              <w:ind w:left="692" w:right="571" w:hanging="113"/>
              <w:jc w:val="left"/>
              <w:rPr>
                <w:sz w:val="14"/>
              </w:rPr>
            </w:pPr>
            <w:r>
              <w:rPr>
                <w:sz w:val="14"/>
              </w:rPr>
              <w:t>Wald</w:t>
            </w:r>
            <w:r>
              <w:rPr>
                <w:spacing w:val="-9"/>
                <w:sz w:val="14"/>
              </w:rPr>
              <w:t> </w:t>
            </w:r>
            <w:r>
              <w:rPr>
                <w:sz w:val="14"/>
              </w:rPr>
              <w:t>Chi2</w:t>
            </w:r>
            <w:r>
              <w:rPr>
                <w:spacing w:val="40"/>
                <w:sz w:val="14"/>
              </w:rPr>
              <w:t> </w:t>
            </w:r>
            <w:r>
              <w:rPr>
                <w:spacing w:val="-2"/>
                <w:sz w:val="14"/>
              </w:rPr>
              <w:t>190.38</w:t>
            </w:r>
          </w:p>
        </w:tc>
        <w:tc>
          <w:tcPr>
            <w:tcW w:w="1441" w:type="dxa"/>
          </w:tcPr>
          <w:p>
            <w:pPr>
              <w:pStyle w:val="TableParagraph"/>
              <w:ind w:left="526" w:right="396" w:hanging="113"/>
              <w:jc w:val="left"/>
              <w:rPr>
                <w:sz w:val="14"/>
              </w:rPr>
            </w:pPr>
            <w:r>
              <w:rPr>
                <w:sz w:val="14"/>
              </w:rPr>
              <w:t>Wald</w:t>
            </w:r>
            <w:r>
              <w:rPr>
                <w:spacing w:val="-9"/>
                <w:sz w:val="14"/>
              </w:rPr>
              <w:t> </w:t>
            </w:r>
            <w:r>
              <w:rPr>
                <w:sz w:val="14"/>
              </w:rPr>
              <w:t>Chi2</w:t>
            </w:r>
            <w:r>
              <w:rPr>
                <w:spacing w:val="40"/>
                <w:sz w:val="14"/>
              </w:rPr>
              <w:t> </w:t>
            </w:r>
            <w:r>
              <w:rPr>
                <w:spacing w:val="-2"/>
                <w:sz w:val="14"/>
              </w:rPr>
              <w:t>190.38</w:t>
            </w:r>
          </w:p>
        </w:tc>
        <w:tc>
          <w:tcPr>
            <w:tcW w:w="1512" w:type="dxa"/>
          </w:tcPr>
          <w:p>
            <w:pPr>
              <w:pStyle w:val="TableParagraph"/>
              <w:ind w:left="561" w:right="432" w:hanging="113"/>
              <w:jc w:val="left"/>
              <w:rPr>
                <w:sz w:val="14"/>
              </w:rPr>
            </w:pPr>
            <w:r>
              <w:rPr>
                <w:sz w:val="14"/>
              </w:rPr>
              <w:t>Wald</w:t>
            </w:r>
            <w:r>
              <w:rPr>
                <w:spacing w:val="-9"/>
                <w:sz w:val="14"/>
              </w:rPr>
              <w:t> </w:t>
            </w:r>
            <w:r>
              <w:rPr>
                <w:sz w:val="14"/>
              </w:rPr>
              <w:t>Chi2</w:t>
            </w:r>
            <w:r>
              <w:rPr>
                <w:spacing w:val="40"/>
                <w:sz w:val="14"/>
              </w:rPr>
              <w:t> </w:t>
            </w:r>
            <w:r>
              <w:rPr>
                <w:spacing w:val="-2"/>
                <w:sz w:val="14"/>
              </w:rPr>
              <w:t>190.38</w:t>
            </w:r>
          </w:p>
        </w:tc>
      </w:tr>
      <w:tr>
        <w:trPr>
          <w:trHeight w:val="390" w:hRule="atLeast"/>
        </w:trPr>
        <w:tc>
          <w:tcPr>
            <w:tcW w:w="2305" w:type="dxa"/>
          </w:tcPr>
          <w:p>
            <w:pPr>
              <w:pStyle w:val="TableParagraph"/>
              <w:spacing w:before="32"/>
              <w:ind w:left="35" w:right="1642"/>
              <w:jc w:val="left"/>
              <w:rPr>
                <w:sz w:val="14"/>
              </w:rPr>
            </w:pPr>
            <w:r>
              <w:rPr>
                <w:spacing w:val="-2"/>
                <w:sz w:val="14"/>
              </w:rPr>
              <w:t>Prob&gt;Chi2</w:t>
            </w:r>
            <w:r>
              <w:rPr>
                <w:spacing w:val="40"/>
                <w:sz w:val="14"/>
              </w:rPr>
              <w:t> </w:t>
            </w:r>
            <w:r>
              <w:rPr>
                <w:spacing w:val="-2"/>
                <w:sz w:val="14"/>
              </w:rPr>
              <w:t>0.0000</w:t>
            </w:r>
          </w:p>
        </w:tc>
        <w:tc>
          <w:tcPr>
            <w:tcW w:w="1772" w:type="dxa"/>
          </w:tcPr>
          <w:p>
            <w:pPr>
              <w:pStyle w:val="TableParagraph"/>
              <w:spacing w:before="32"/>
              <w:ind w:left="692" w:right="561" w:hanging="116"/>
              <w:jc w:val="left"/>
              <w:rPr>
                <w:sz w:val="14"/>
              </w:rPr>
            </w:pPr>
            <w:r>
              <w:rPr>
                <w:spacing w:val="-2"/>
                <w:sz w:val="14"/>
              </w:rPr>
              <w:t>Prob&gt;Chi2</w:t>
            </w:r>
            <w:r>
              <w:rPr>
                <w:spacing w:val="40"/>
                <w:sz w:val="14"/>
              </w:rPr>
              <w:t> </w:t>
            </w:r>
            <w:r>
              <w:rPr>
                <w:spacing w:val="-2"/>
                <w:sz w:val="14"/>
              </w:rPr>
              <w:t>0.0000</w:t>
            </w:r>
          </w:p>
        </w:tc>
        <w:tc>
          <w:tcPr>
            <w:tcW w:w="1772" w:type="dxa"/>
          </w:tcPr>
          <w:p>
            <w:pPr>
              <w:pStyle w:val="TableParagraph"/>
              <w:spacing w:before="32"/>
              <w:ind w:left="692" w:right="561" w:hanging="116"/>
              <w:jc w:val="left"/>
              <w:rPr>
                <w:sz w:val="14"/>
              </w:rPr>
            </w:pPr>
            <w:r>
              <w:rPr>
                <w:spacing w:val="-2"/>
                <w:sz w:val="14"/>
              </w:rPr>
              <w:t>Prob&gt;Chi2</w:t>
            </w:r>
            <w:r>
              <w:rPr>
                <w:spacing w:val="40"/>
                <w:sz w:val="14"/>
              </w:rPr>
              <w:t> </w:t>
            </w:r>
            <w:r>
              <w:rPr>
                <w:spacing w:val="-2"/>
                <w:sz w:val="14"/>
              </w:rPr>
              <w:t>0.0000</w:t>
            </w:r>
          </w:p>
        </w:tc>
        <w:tc>
          <w:tcPr>
            <w:tcW w:w="1441" w:type="dxa"/>
          </w:tcPr>
          <w:p>
            <w:pPr>
              <w:pStyle w:val="TableParagraph"/>
              <w:spacing w:before="32"/>
              <w:ind w:left="526" w:right="403" w:hanging="116"/>
              <w:jc w:val="left"/>
              <w:rPr>
                <w:sz w:val="14"/>
              </w:rPr>
            </w:pPr>
            <w:r>
              <w:rPr>
                <w:spacing w:val="-2"/>
                <w:sz w:val="14"/>
              </w:rPr>
              <w:t>Prob&gt;Chi2</w:t>
            </w:r>
            <w:r>
              <w:rPr>
                <w:spacing w:val="40"/>
                <w:sz w:val="14"/>
              </w:rPr>
              <w:t> </w:t>
            </w:r>
            <w:r>
              <w:rPr>
                <w:spacing w:val="-2"/>
                <w:sz w:val="14"/>
              </w:rPr>
              <w:t>0.0000</w:t>
            </w:r>
          </w:p>
        </w:tc>
        <w:tc>
          <w:tcPr>
            <w:tcW w:w="1512" w:type="dxa"/>
          </w:tcPr>
          <w:p>
            <w:pPr>
              <w:pStyle w:val="TableParagraph"/>
              <w:spacing w:before="32"/>
              <w:ind w:left="561" w:right="432" w:hanging="116"/>
              <w:jc w:val="left"/>
              <w:rPr>
                <w:sz w:val="14"/>
              </w:rPr>
            </w:pPr>
            <w:r>
              <w:rPr>
                <w:spacing w:val="-2"/>
                <w:sz w:val="14"/>
              </w:rPr>
              <w:t>Prob&gt;Chi2</w:t>
            </w:r>
            <w:r>
              <w:rPr>
                <w:spacing w:val="40"/>
                <w:sz w:val="14"/>
              </w:rPr>
              <w:t> </w:t>
            </w:r>
            <w:r>
              <w:rPr>
                <w:spacing w:val="-2"/>
                <w:sz w:val="14"/>
              </w:rPr>
              <w:t>0.0000</w:t>
            </w:r>
          </w:p>
        </w:tc>
      </w:tr>
      <w:tr>
        <w:trPr>
          <w:trHeight w:val="232" w:hRule="atLeast"/>
        </w:trPr>
        <w:tc>
          <w:tcPr>
            <w:tcW w:w="2305" w:type="dxa"/>
          </w:tcPr>
          <w:p>
            <w:pPr>
              <w:pStyle w:val="TableParagraph"/>
              <w:ind w:left="35"/>
              <w:jc w:val="left"/>
              <w:rPr>
                <w:sz w:val="14"/>
              </w:rPr>
            </w:pPr>
            <w:r>
              <w:rPr>
                <w:sz w:val="14"/>
              </w:rPr>
              <w:t>Overall</w:t>
            </w:r>
            <w:r>
              <w:rPr>
                <w:spacing w:val="-3"/>
                <w:sz w:val="14"/>
              </w:rPr>
              <w:t> </w:t>
            </w:r>
            <w:r>
              <w:rPr>
                <w:sz w:val="14"/>
              </w:rPr>
              <w:t>R2</w:t>
            </w:r>
            <w:r>
              <w:rPr>
                <w:spacing w:val="32"/>
                <w:sz w:val="14"/>
              </w:rPr>
              <w:t> </w:t>
            </w:r>
            <w:r>
              <w:rPr>
                <w:spacing w:val="-2"/>
                <w:sz w:val="14"/>
              </w:rPr>
              <w:t>0.6041</w:t>
            </w:r>
          </w:p>
        </w:tc>
        <w:tc>
          <w:tcPr>
            <w:tcW w:w="1772" w:type="dxa"/>
          </w:tcPr>
          <w:p>
            <w:pPr>
              <w:pStyle w:val="TableParagraph"/>
              <w:ind w:left="9"/>
              <w:rPr>
                <w:sz w:val="14"/>
              </w:rPr>
            </w:pPr>
            <w:r>
              <w:rPr>
                <w:sz w:val="14"/>
              </w:rPr>
              <w:t>Overall</w:t>
            </w:r>
            <w:r>
              <w:rPr>
                <w:spacing w:val="-3"/>
                <w:sz w:val="14"/>
              </w:rPr>
              <w:t> </w:t>
            </w:r>
            <w:r>
              <w:rPr>
                <w:sz w:val="14"/>
              </w:rPr>
              <w:t>R2</w:t>
            </w:r>
            <w:r>
              <w:rPr>
                <w:spacing w:val="32"/>
                <w:sz w:val="14"/>
              </w:rPr>
              <w:t> </w:t>
            </w:r>
            <w:r>
              <w:rPr>
                <w:spacing w:val="-2"/>
                <w:sz w:val="14"/>
              </w:rPr>
              <w:t>0.6041</w:t>
            </w:r>
          </w:p>
        </w:tc>
        <w:tc>
          <w:tcPr>
            <w:tcW w:w="1772" w:type="dxa"/>
          </w:tcPr>
          <w:p>
            <w:pPr>
              <w:pStyle w:val="TableParagraph"/>
              <w:ind w:left="9" w:right="1"/>
              <w:rPr>
                <w:sz w:val="14"/>
              </w:rPr>
            </w:pPr>
            <w:r>
              <w:rPr>
                <w:sz w:val="14"/>
              </w:rPr>
              <w:t>Overall</w:t>
            </w:r>
            <w:r>
              <w:rPr>
                <w:spacing w:val="-3"/>
                <w:sz w:val="14"/>
              </w:rPr>
              <w:t> </w:t>
            </w:r>
            <w:r>
              <w:rPr>
                <w:sz w:val="14"/>
              </w:rPr>
              <w:t>R2</w:t>
            </w:r>
            <w:r>
              <w:rPr>
                <w:spacing w:val="32"/>
                <w:sz w:val="14"/>
              </w:rPr>
              <w:t> </w:t>
            </w:r>
            <w:r>
              <w:rPr>
                <w:spacing w:val="-2"/>
                <w:sz w:val="14"/>
              </w:rPr>
              <w:t>0.6041</w:t>
            </w:r>
          </w:p>
        </w:tc>
        <w:tc>
          <w:tcPr>
            <w:tcW w:w="1441" w:type="dxa"/>
          </w:tcPr>
          <w:p>
            <w:pPr>
              <w:pStyle w:val="TableParagraph"/>
              <w:ind w:left="6"/>
              <w:rPr>
                <w:sz w:val="14"/>
              </w:rPr>
            </w:pPr>
            <w:r>
              <w:rPr>
                <w:sz w:val="14"/>
              </w:rPr>
              <w:t>Overall</w:t>
            </w:r>
            <w:r>
              <w:rPr>
                <w:spacing w:val="-3"/>
                <w:sz w:val="14"/>
              </w:rPr>
              <w:t> </w:t>
            </w:r>
            <w:r>
              <w:rPr>
                <w:sz w:val="14"/>
              </w:rPr>
              <w:t>R2</w:t>
            </w:r>
            <w:r>
              <w:rPr>
                <w:spacing w:val="32"/>
                <w:sz w:val="14"/>
              </w:rPr>
              <w:t> </w:t>
            </w:r>
            <w:r>
              <w:rPr>
                <w:spacing w:val="-2"/>
                <w:sz w:val="14"/>
              </w:rPr>
              <w:t>0.6041</w:t>
            </w:r>
          </w:p>
        </w:tc>
        <w:tc>
          <w:tcPr>
            <w:tcW w:w="1512" w:type="dxa"/>
          </w:tcPr>
          <w:p>
            <w:pPr>
              <w:pStyle w:val="TableParagraph"/>
              <w:ind w:left="7"/>
              <w:rPr>
                <w:sz w:val="14"/>
              </w:rPr>
            </w:pPr>
            <w:r>
              <w:rPr>
                <w:sz w:val="14"/>
              </w:rPr>
              <w:t>Overall</w:t>
            </w:r>
            <w:r>
              <w:rPr>
                <w:spacing w:val="-3"/>
                <w:sz w:val="14"/>
              </w:rPr>
              <w:t> </w:t>
            </w:r>
            <w:r>
              <w:rPr>
                <w:sz w:val="14"/>
              </w:rPr>
              <w:t>R2</w:t>
            </w:r>
            <w:r>
              <w:rPr>
                <w:spacing w:val="32"/>
                <w:sz w:val="14"/>
              </w:rPr>
              <w:t> </w:t>
            </w:r>
            <w:r>
              <w:rPr>
                <w:spacing w:val="-2"/>
                <w:sz w:val="14"/>
              </w:rPr>
              <w:t>0.6041</w:t>
            </w:r>
          </w:p>
        </w:tc>
      </w:tr>
    </w:tbl>
    <w:p>
      <w:pPr>
        <w:pStyle w:val="BodyText"/>
        <w:spacing w:before="15"/>
        <w:ind w:left="0" w:firstLine="0"/>
        <w:jc w:val="left"/>
        <w:rPr>
          <w:sz w:val="17"/>
        </w:rPr>
      </w:pPr>
    </w:p>
    <w:p>
      <w:pPr>
        <w:spacing w:before="1"/>
        <w:ind w:left="369" w:right="0" w:firstLine="0"/>
        <w:jc w:val="both"/>
        <w:rPr>
          <w:i/>
          <w:sz w:val="16"/>
        </w:rPr>
      </w:pPr>
      <w:r>
        <w:rPr>
          <w:b/>
          <w:sz w:val="16"/>
        </w:rPr>
        <w:t>Source:</w:t>
      </w:r>
      <w:r>
        <w:rPr>
          <w:b/>
          <w:spacing w:val="-7"/>
          <w:sz w:val="16"/>
        </w:rPr>
        <w:t> </w:t>
      </w:r>
      <w:r>
        <w:rPr>
          <w:i/>
          <w:sz w:val="16"/>
        </w:rPr>
        <w:t>STATA</w:t>
      </w:r>
      <w:r>
        <w:rPr>
          <w:i/>
          <w:spacing w:val="-4"/>
          <w:sz w:val="16"/>
        </w:rPr>
        <w:t> </w:t>
      </w:r>
      <w:r>
        <w:rPr>
          <w:i/>
          <w:sz w:val="16"/>
        </w:rPr>
        <w:t>Output,</w:t>
      </w:r>
      <w:r>
        <w:rPr>
          <w:i/>
          <w:spacing w:val="-6"/>
          <w:sz w:val="16"/>
        </w:rPr>
        <w:t> </w:t>
      </w:r>
      <w:r>
        <w:rPr>
          <w:i/>
          <w:spacing w:val="-4"/>
          <w:sz w:val="16"/>
        </w:rPr>
        <w:t>2025</w:t>
      </w:r>
    </w:p>
    <w:p>
      <w:pPr>
        <w:pStyle w:val="BodyText"/>
        <w:spacing w:before="78"/>
        <w:ind w:right="360"/>
      </w:pPr>
      <w:r>
        <w:rPr/>
        <w:t>This</w:t>
      </w:r>
      <w:r>
        <w:rPr>
          <w:spacing w:val="-2"/>
        </w:rPr>
        <w:t> </w:t>
      </w:r>
      <w:r>
        <w:rPr/>
        <w:t>table</w:t>
      </w:r>
      <w:r>
        <w:rPr>
          <w:spacing w:val="-1"/>
        </w:rPr>
        <w:t> </w:t>
      </w:r>
      <w:r>
        <w:rPr/>
        <w:t>shows</w:t>
      </w:r>
      <w:r>
        <w:rPr>
          <w:spacing w:val="-4"/>
        </w:rPr>
        <w:t> </w:t>
      </w:r>
      <w:r>
        <w:rPr/>
        <w:t>the</w:t>
      </w:r>
      <w:r>
        <w:rPr>
          <w:spacing w:val="-2"/>
        </w:rPr>
        <w:t> </w:t>
      </w:r>
      <w:r>
        <w:rPr/>
        <w:t>results</w:t>
      </w:r>
      <w:r>
        <w:rPr>
          <w:spacing w:val="-2"/>
        </w:rPr>
        <w:t> </w:t>
      </w:r>
      <w:r>
        <w:rPr/>
        <w:t>of</w:t>
      </w:r>
      <w:r>
        <w:rPr>
          <w:spacing w:val="-3"/>
        </w:rPr>
        <w:t> </w:t>
      </w:r>
      <w:r>
        <w:rPr/>
        <w:t>a</w:t>
      </w:r>
      <w:r>
        <w:rPr>
          <w:spacing w:val="-2"/>
        </w:rPr>
        <w:t> </w:t>
      </w:r>
      <w:r>
        <w:rPr/>
        <w:t>cross-sectional</w:t>
      </w:r>
      <w:r>
        <w:rPr>
          <w:spacing w:val="-1"/>
        </w:rPr>
        <w:t> </w:t>
      </w:r>
      <w:r>
        <w:rPr/>
        <w:t>time-series</w:t>
      </w:r>
      <w:r>
        <w:rPr>
          <w:spacing w:val="-2"/>
        </w:rPr>
        <w:t> </w:t>
      </w:r>
      <w:r>
        <w:rPr/>
        <w:t>regression analysis</w:t>
      </w:r>
      <w:r>
        <w:rPr>
          <w:spacing w:val="-4"/>
        </w:rPr>
        <w:t> </w:t>
      </w:r>
      <w:r>
        <w:rPr/>
        <w:t>of</w:t>
      </w:r>
      <w:r>
        <w:rPr>
          <w:spacing w:val="-1"/>
        </w:rPr>
        <w:t> </w:t>
      </w:r>
      <w:r>
        <w:rPr/>
        <w:t>the</w:t>
      </w:r>
      <w:r>
        <w:rPr>
          <w:spacing w:val="-2"/>
        </w:rPr>
        <w:t> </w:t>
      </w:r>
      <w:r>
        <w:rPr/>
        <w:t>study.</w:t>
      </w:r>
      <w:r>
        <w:rPr>
          <w:spacing w:val="-3"/>
        </w:rPr>
        <w:t> </w:t>
      </w:r>
      <w:r>
        <w:rPr/>
        <w:t>The</w:t>
      </w:r>
      <w:r>
        <w:rPr>
          <w:spacing w:val="-2"/>
        </w:rPr>
        <w:t> </w:t>
      </w:r>
      <w:r>
        <w:rPr/>
        <w:t>result</w:t>
      </w:r>
      <w:r>
        <w:rPr>
          <w:spacing w:val="-1"/>
        </w:rPr>
        <w:t> </w:t>
      </w:r>
      <w:r>
        <w:rPr/>
        <w:t>revealed that</w:t>
      </w:r>
      <w:r>
        <w:rPr>
          <w:spacing w:val="-1"/>
        </w:rPr>
        <w:t> </w:t>
      </w:r>
      <w:r>
        <w:rPr/>
        <w:t>EPS,</w:t>
      </w:r>
      <w:r>
        <w:rPr>
          <w:spacing w:val="-1"/>
        </w:rPr>
        <w:t> </w:t>
      </w:r>
      <w:r>
        <w:rPr/>
        <w:t>BVPS,</w:t>
      </w:r>
      <w:r>
        <w:rPr>
          <w:spacing w:val="-1"/>
        </w:rPr>
        <w:t> </w:t>
      </w:r>
      <w:r>
        <w:rPr/>
        <w:t>CER and OCFR have positive significant effect on the share price of listed consumer goods firm in Nigeria as indicated by coefficient of 0.0499816, 2.993886, 8.378912, and 20.47328 respectively. However, the coefficient for FCF is negative and statistically insignificant (-100.156,</w:t>
      </w:r>
      <w:r>
        <w:rPr>
          <w:spacing w:val="-10"/>
        </w:rPr>
        <w:t> </w:t>
      </w:r>
      <w:r>
        <w:rPr/>
        <w:t>p-value</w:t>
      </w:r>
      <w:r>
        <w:rPr>
          <w:spacing w:val="-9"/>
        </w:rPr>
        <w:t> </w:t>
      </w:r>
      <w:r>
        <w:rPr/>
        <w:t>=</w:t>
      </w:r>
      <w:r>
        <w:rPr>
          <w:spacing w:val="-9"/>
        </w:rPr>
        <w:t> </w:t>
      </w:r>
      <w:r>
        <w:rPr/>
        <w:t>0.757).</w:t>
      </w:r>
      <w:r>
        <w:rPr>
          <w:spacing w:val="-8"/>
        </w:rPr>
        <w:t> </w:t>
      </w:r>
      <w:r>
        <w:rPr/>
        <w:t>This</w:t>
      </w:r>
      <w:r>
        <w:rPr>
          <w:spacing w:val="-8"/>
        </w:rPr>
        <w:t> </w:t>
      </w:r>
      <w:r>
        <w:rPr/>
        <w:t>suggests</w:t>
      </w:r>
      <w:r>
        <w:rPr>
          <w:spacing w:val="-9"/>
        </w:rPr>
        <w:t> </w:t>
      </w:r>
      <w:r>
        <w:rPr/>
        <w:t>no</w:t>
      </w:r>
      <w:r>
        <w:rPr>
          <w:spacing w:val="-7"/>
        </w:rPr>
        <w:t> </w:t>
      </w:r>
      <w:r>
        <w:rPr/>
        <w:t>clear</w:t>
      </w:r>
      <w:r>
        <w:rPr>
          <w:spacing w:val="-8"/>
        </w:rPr>
        <w:t> </w:t>
      </w:r>
      <w:r>
        <w:rPr/>
        <w:t>relationship</w:t>
      </w:r>
      <w:r>
        <w:rPr>
          <w:spacing w:val="-9"/>
        </w:rPr>
        <w:t> </w:t>
      </w:r>
      <w:r>
        <w:rPr/>
        <w:t>between</w:t>
      </w:r>
      <w:r>
        <w:rPr>
          <w:spacing w:val="-7"/>
        </w:rPr>
        <w:t> </w:t>
      </w:r>
      <w:r>
        <w:rPr/>
        <w:t>free</w:t>
      </w:r>
      <w:r>
        <w:rPr>
          <w:spacing w:val="-9"/>
        </w:rPr>
        <w:t> </w:t>
      </w:r>
      <w:r>
        <w:rPr/>
        <w:t>cash</w:t>
      </w:r>
      <w:r>
        <w:rPr>
          <w:spacing w:val="-8"/>
        </w:rPr>
        <w:t> </w:t>
      </w:r>
      <w:r>
        <w:rPr/>
        <w:t>flow</w:t>
      </w:r>
      <w:r>
        <w:rPr>
          <w:spacing w:val="-9"/>
        </w:rPr>
        <w:t> </w:t>
      </w:r>
      <w:r>
        <w:rPr/>
        <w:t>and</w:t>
      </w:r>
      <w:r>
        <w:rPr>
          <w:spacing w:val="-7"/>
        </w:rPr>
        <w:t> </w:t>
      </w:r>
      <w:r>
        <w:rPr/>
        <w:t>share</w:t>
      </w:r>
      <w:r>
        <w:rPr>
          <w:spacing w:val="-9"/>
        </w:rPr>
        <w:t> </w:t>
      </w:r>
      <w:r>
        <w:rPr/>
        <w:t>price</w:t>
      </w:r>
      <w:r>
        <w:rPr>
          <w:spacing w:val="-9"/>
        </w:rPr>
        <w:t> </w:t>
      </w:r>
      <w:r>
        <w:rPr/>
        <w:t>in</w:t>
      </w:r>
      <w:r>
        <w:rPr>
          <w:spacing w:val="-7"/>
        </w:rPr>
        <w:t> </w:t>
      </w:r>
      <w:r>
        <w:rPr/>
        <w:t>the</w:t>
      </w:r>
      <w:r>
        <w:rPr>
          <w:spacing w:val="-9"/>
        </w:rPr>
        <w:t> </w:t>
      </w:r>
      <w:r>
        <w:rPr/>
        <w:t>model.</w:t>
      </w:r>
      <w:r>
        <w:rPr>
          <w:spacing w:val="-10"/>
        </w:rPr>
        <w:t> </w:t>
      </w:r>
      <w:r>
        <w:rPr/>
        <w:t>More</w:t>
      </w:r>
      <w:r>
        <w:rPr>
          <w:spacing w:val="-9"/>
        </w:rPr>
        <w:t> </w:t>
      </w:r>
      <w:r>
        <w:rPr/>
        <w:t>so,</w:t>
      </w:r>
      <w:r>
        <w:rPr>
          <w:spacing w:val="-10"/>
        </w:rPr>
        <w:t> </w:t>
      </w:r>
      <w:r>
        <w:rPr/>
        <w:t>the</w:t>
      </w:r>
      <w:r>
        <w:rPr>
          <w:spacing w:val="-9"/>
        </w:rPr>
        <w:t> </w:t>
      </w:r>
      <w:r>
        <w:rPr/>
        <w:t>insignificant coefficient of SIZE (0.0649552, pvalue = 0.987) suggests no significant association between firm size (measured by log of size) and share price.</w:t>
      </w:r>
      <w:r>
        <w:rPr>
          <w:spacing w:val="-2"/>
        </w:rPr>
        <w:t> </w:t>
      </w:r>
      <w:r>
        <w:rPr/>
        <w:t>Lastly,</w:t>
      </w:r>
      <w:r>
        <w:rPr>
          <w:spacing w:val="-2"/>
        </w:rPr>
        <w:t> </w:t>
      </w:r>
      <w:r>
        <w:rPr/>
        <w:t>the</w:t>
      </w:r>
      <w:r>
        <w:rPr>
          <w:spacing w:val="-3"/>
        </w:rPr>
        <w:t> </w:t>
      </w:r>
      <w:r>
        <w:rPr/>
        <w:t>negative</w:t>
      </w:r>
      <w:r>
        <w:rPr>
          <w:spacing w:val="-3"/>
        </w:rPr>
        <w:t> </w:t>
      </w:r>
      <w:r>
        <w:rPr/>
        <w:t>and</w:t>
      </w:r>
      <w:r>
        <w:rPr>
          <w:spacing w:val="-3"/>
        </w:rPr>
        <w:t> </w:t>
      </w:r>
      <w:r>
        <w:rPr/>
        <w:t>insignificant</w:t>
      </w:r>
      <w:r>
        <w:rPr>
          <w:spacing w:val="-2"/>
        </w:rPr>
        <w:t> </w:t>
      </w:r>
      <w:r>
        <w:rPr/>
        <w:t>coefficient</w:t>
      </w:r>
      <w:r>
        <w:rPr>
          <w:spacing w:val="-4"/>
        </w:rPr>
        <w:t> </w:t>
      </w:r>
      <w:r>
        <w:rPr/>
        <w:t>(-0.4926173,</w:t>
      </w:r>
      <w:r>
        <w:rPr>
          <w:spacing w:val="-2"/>
        </w:rPr>
        <w:t> </w:t>
      </w:r>
      <w:r>
        <w:rPr/>
        <w:t>p-value</w:t>
      </w:r>
      <w:r>
        <w:rPr>
          <w:spacing w:val="-3"/>
        </w:rPr>
        <w:t> </w:t>
      </w:r>
      <w:r>
        <w:rPr/>
        <w:t>=</w:t>
      </w:r>
      <w:r>
        <w:rPr>
          <w:spacing w:val="-4"/>
        </w:rPr>
        <w:t> </w:t>
      </w:r>
      <w:r>
        <w:rPr/>
        <w:t>0.605)</w:t>
      </w:r>
      <w:r>
        <w:rPr>
          <w:spacing w:val="-2"/>
        </w:rPr>
        <w:t> </w:t>
      </w:r>
      <w:r>
        <w:rPr/>
        <w:t>indicates</w:t>
      </w:r>
      <w:r>
        <w:rPr>
          <w:spacing w:val="-3"/>
        </w:rPr>
        <w:t> </w:t>
      </w:r>
      <w:r>
        <w:rPr/>
        <w:t>no</w:t>
      </w:r>
      <w:r>
        <w:rPr>
          <w:spacing w:val="-3"/>
        </w:rPr>
        <w:t> </w:t>
      </w:r>
      <w:r>
        <w:rPr/>
        <w:t>clear</w:t>
      </w:r>
      <w:r>
        <w:rPr>
          <w:spacing w:val="-2"/>
        </w:rPr>
        <w:t> </w:t>
      </w:r>
      <w:r>
        <w:rPr/>
        <w:t>evidence</w:t>
      </w:r>
      <w:r>
        <w:rPr>
          <w:spacing w:val="-3"/>
        </w:rPr>
        <w:t> </w:t>
      </w:r>
      <w:r>
        <w:rPr/>
        <w:t>that</w:t>
      </w:r>
      <w:r>
        <w:rPr>
          <w:spacing w:val="-2"/>
        </w:rPr>
        <w:t> </w:t>
      </w:r>
      <w:r>
        <w:rPr/>
        <w:t>firm</w:t>
      </w:r>
      <w:r>
        <w:rPr>
          <w:spacing w:val="-5"/>
        </w:rPr>
        <w:t> </w:t>
      </w:r>
      <w:r>
        <w:rPr/>
        <w:t>age</w:t>
      </w:r>
      <w:r>
        <w:rPr>
          <w:spacing w:val="-3"/>
        </w:rPr>
        <w:t> </w:t>
      </w:r>
      <w:r>
        <w:rPr/>
        <w:t>affects</w:t>
      </w:r>
      <w:r>
        <w:rPr>
          <w:spacing w:val="-3"/>
        </w:rPr>
        <w:t> </w:t>
      </w:r>
      <w:r>
        <w:rPr/>
        <w:t>share price. Furthermore, the Wald Chi-square statistic (190.38) and its</w:t>
      </w:r>
      <w:r>
        <w:rPr>
          <w:spacing w:val="-2"/>
        </w:rPr>
        <w:t> </w:t>
      </w:r>
      <w:r>
        <w:rPr/>
        <w:t>p-value (0.0000)</w:t>
      </w:r>
      <w:r>
        <w:rPr>
          <w:spacing w:val="-1"/>
        </w:rPr>
        <w:t> </w:t>
      </w:r>
      <w:r>
        <w:rPr/>
        <w:t>suggest that the overall model is statistically significant in explaining the variation in share price. Also, the Overall R-squared (0.6041) indicates that the model explains approximately 60.4% of the</w:t>
      </w:r>
      <w:r>
        <w:rPr>
          <w:spacing w:val="-4"/>
        </w:rPr>
        <w:t> </w:t>
      </w:r>
      <w:r>
        <w:rPr/>
        <w:t>variance</w:t>
      </w:r>
      <w:r>
        <w:rPr>
          <w:spacing w:val="-2"/>
        </w:rPr>
        <w:t> </w:t>
      </w:r>
      <w:r>
        <w:rPr/>
        <w:t>in</w:t>
      </w:r>
      <w:r>
        <w:rPr>
          <w:spacing w:val="-2"/>
        </w:rPr>
        <w:t> </w:t>
      </w:r>
      <w:r>
        <w:rPr/>
        <w:t>share</w:t>
      </w:r>
      <w:r>
        <w:rPr>
          <w:spacing w:val="-4"/>
        </w:rPr>
        <w:t> </w:t>
      </w:r>
      <w:r>
        <w:rPr/>
        <w:t>price.</w:t>
      </w:r>
      <w:r>
        <w:rPr>
          <w:spacing w:val="40"/>
        </w:rPr>
        <w:t> </w:t>
      </w:r>
      <w:r>
        <w:rPr/>
        <w:t>Based</w:t>
      </w:r>
      <w:r>
        <w:rPr>
          <w:spacing w:val="-2"/>
        </w:rPr>
        <w:t> </w:t>
      </w:r>
      <w:r>
        <w:rPr/>
        <w:t>on</w:t>
      </w:r>
      <w:r>
        <w:rPr>
          <w:spacing w:val="-2"/>
        </w:rPr>
        <w:t> </w:t>
      </w:r>
      <w:r>
        <w:rPr/>
        <w:t>these</w:t>
      </w:r>
      <w:r>
        <w:rPr>
          <w:spacing w:val="-2"/>
        </w:rPr>
        <w:t> </w:t>
      </w:r>
      <w:r>
        <w:rPr/>
        <w:t>results,</w:t>
      </w:r>
      <w:r>
        <w:rPr>
          <w:spacing w:val="-1"/>
        </w:rPr>
        <w:t> </w:t>
      </w:r>
      <w:r>
        <w:rPr/>
        <w:t>while</w:t>
      </w:r>
      <w:r>
        <w:rPr>
          <w:spacing w:val="-2"/>
        </w:rPr>
        <w:t> </w:t>
      </w:r>
      <w:r>
        <w:rPr/>
        <w:t>we</w:t>
      </w:r>
      <w:r>
        <w:rPr>
          <w:spacing w:val="-5"/>
        </w:rPr>
        <w:t> </w:t>
      </w:r>
      <w:r>
        <w:rPr/>
        <w:t>accept</w:t>
      </w:r>
      <w:r>
        <w:rPr>
          <w:spacing w:val="-1"/>
        </w:rPr>
        <w:t> </w:t>
      </w:r>
      <w:r>
        <w:rPr/>
        <w:t>the</w:t>
      </w:r>
      <w:r>
        <w:rPr>
          <w:spacing w:val="-4"/>
        </w:rPr>
        <w:t> </w:t>
      </w:r>
      <w:r>
        <w:rPr/>
        <w:t>first</w:t>
      </w:r>
      <w:r>
        <w:rPr>
          <w:spacing w:val="-3"/>
        </w:rPr>
        <w:t> </w:t>
      </w:r>
      <w:r>
        <w:rPr/>
        <w:t>null</w:t>
      </w:r>
      <w:r>
        <w:rPr>
          <w:spacing w:val="-3"/>
        </w:rPr>
        <w:t> </w:t>
      </w:r>
      <w:r>
        <w:rPr/>
        <w:t>hypothesis</w:t>
      </w:r>
      <w:r>
        <w:rPr>
          <w:spacing w:val="-4"/>
        </w:rPr>
        <w:t> </w:t>
      </w:r>
      <w:r>
        <w:rPr/>
        <w:t>that</w:t>
      </w:r>
      <w:r>
        <w:rPr>
          <w:spacing w:val="-3"/>
        </w:rPr>
        <w:t> </w:t>
      </w:r>
      <w:r>
        <w:rPr/>
        <w:t>free</w:t>
      </w:r>
      <w:r>
        <w:rPr>
          <w:spacing w:val="-2"/>
        </w:rPr>
        <w:t> </w:t>
      </w:r>
      <w:r>
        <w:rPr/>
        <w:t>cash</w:t>
      </w:r>
      <w:r>
        <w:rPr>
          <w:spacing w:val="-1"/>
        </w:rPr>
        <w:t> </w:t>
      </w:r>
      <w:r>
        <w:rPr/>
        <w:t>flow has</w:t>
      </w:r>
      <w:r>
        <w:rPr>
          <w:spacing w:val="-2"/>
        </w:rPr>
        <w:t> </w:t>
      </w:r>
      <w:r>
        <w:rPr/>
        <w:t>no</w:t>
      </w:r>
      <w:r>
        <w:rPr>
          <w:spacing w:val="-2"/>
        </w:rPr>
        <w:t> </w:t>
      </w:r>
      <w:r>
        <w:rPr/>
        <w:t>significant</w:t>
      </w:r>
      <w:r>
        <w:rPr>
          <w:spacing w:val="-3"/>
        </w:rPr>
        <w:t> </w:t>
      </w:r>
      <w:r>
        <w:rPr/>
        <w:t>impact</w:t>
      </w:r>
      <w:r>
        <w:rPr>
          <w:spacing w:val="-1"/>
        </w:rPr>
        <w:t> </w:t>
      </w:r>
      <w:r>
        <w:rPr/>
        <w:t>on the</w:t>
      </w:r>
      <w:r>
        <w:rPr>
          <w:spacing w:val="-5"/>
        </w:rPr>
        <w:t> </w:t>
      </w:r>
      <w:r>
        <w:rPr/>
        <w:t>market</w:t>
      </w:r>
      <w:r>
        <w:rPr>
          <w:spacing w:val="-4"/>
        </w:rPr>
        <w:t> </w:t>
      </w:r>
      <w:r>
        <w:rPr/>
        <w:t>value</w:t>
      </w:r>
      <w:r>
        <w:rPr>
          <w:spacing w:val="-7"/>
        </w:rPr>
        <w:t> </w:t>
      </w:r>
      <w:r>
        <w:rPr/>
        <w:t>of</w:t>
      </w:r>
      <w:r>
        <w:rPr>
          <w:spacing w:val="-4"/>
        </w:rPr>
        <w:t> </w:t>
      </w:r>
      <w:r>
        <w:rPr/>
        <w:t>listed</w:t>
      </w:r>
      <w:r>
        <w:rPr>
          <w:spacing w:val="-3"/>
        </w:rPr>
        <w:t> </w:t>
      </w:r>
      <w:r>
        <w:rPr/>
        <w:t>consumer</w:t>
      </w:r>
      <w:r>
        <w:rPr>
          <w:spacing w:val="-4"/>
        </w:rPr>
        <w:t> </w:t>
      </w:r>
      <w:r>
        <w:rPr/>
        <w:t>goods</w:t>
      </w:r>
      <w:r>
        <w:rPr>
          <w:spacing w:val="-5"/>
        </w:rPr>
        <w:t> </w:t>
      </w:r>
      <w:r>
        <w:rPr/>
        <w:t>firms</w:t>
      </w:r>
      <w:r>
        <w:rPr>
          <w:spacing w:val="-5"/>
        </w:rPr>
        <w:t> </w:t>
      </w:r>
      <w:r>
        <w:rPr/>
        <w:t>in</w:t>
      </w:r>
      <w:r>
        <w:rPr>
          <w:spacing w:val="-3"/>
        </w:rPr>
        <w:t> </w:t>
      </w:r>
      <w:r>
        <w:rPr/>
        <w:t>Nigeria,</w:t>
      </w:r>
      <w:r>
        <w:rPr>
          <w:spacing w:val="-4"/>
        </w:rPr>
        <w:t> </w:t>
      </w:r>
      <w:r>
        <w:rPr/>
        <w:t>we</w:t>
      </w:r>
      <w:r>
        <w:rPr>
          <w:spacing w:val="-5"/>
        </w:rPr>
        <w:t> </w:t>
      </w:r>
      <w:r>
        <w:rPr/>
        <w:t>accept</w:t>
      </w:r>
      <w:r>
        <w:rPr>
          <w:spacing w:val="-4"/>
        </w:rPr>
        <w:t> </w:t>
      </w:r>
      <w:r>
        <w:rPr/>
        <w:t>the</w:t>
      </w:r>
      <w:r>
        <w:rPr>
          <w:spacing w:val="-7"/>
        </w:rPr>
        <w:t> </w:t>
      </w:r>
      <w:r>
        <w:rPr/>
        <w:t>other</w:t>
      </w:r>
      <w:r>
        <w:rPr>
          <w:spacing w:val="-4"/>
        </w:rPr>
        <w:t> </w:t>
      </w:r>
      <w:r>
        <w:rPr/>
        <w:t>two</w:t>
      </w:r>
      <w:r>
        <w:rPr>
          <w:spacing w:val="-3"/>
        </w:rPr>
        <w:t> </w:t>
      </w:r>
      <w:r>
        <w:rPr/>
        <w:t>null</w:t>
      </w:r>
      <w:r>
        <w:rPr>
          <w:spacing w:val="-6"/>
        </w:rPr>
        <w:t> </w:t>
      </w:r>
      <w:r>
        <w:rPr/>
        <w:t>hypotheses</w:t>
      </w:r>
      <w:r>
        <w:rPr>
          <w:spacing w:val="-5"/>
        </w:rPr>
        <w:t> </w:t>
      </w:r>
      <w:r>
        <w:rPr/>
        <w:t>that</w:t>
      </w:r>
      <w:r>
        <w:rPr>
          <w:spacing w:val="-4"/>
        </w:rPr>
        <w:t> </w:t>
      </w:r>
      <w:r>
        <w:rPr/>
        <w:t>cash</w:t>
      </w:r>
      <w:r>
        <w:rPr>
          <w:spacing w:val="-4"/>
        </w:rPr>
        <w:t> </w:t>
      </w:r>
      <w:r>
        <w:rPr/>
        <w:t>expenditure</w:t>
      </w:r>
      <w:r>
        <w:rPr>
          <w:spacing w:val="-5"/>
        </w:rPr>
        <w:t> </w:t>
      </w:r>
      <w:r>
        <w:rPr/>
        <w:t>to cash</w:t>
      </w:r>
      <w:r>
        <w:rPr>
          <w:spacing w:val="-4"/>
        </w:rPr>
        <w:t> </w:t>
      </w:r>
      <w:r>
        <w:rPr/>
        <w:t>flow</w:t>
      </w:r>
      <w:r>
        <w:rPr>
          <w:spacing w:val="-7"/>
        </w:rPr>
        <w:t> </w:t>
      </w:r>
      <w:r>
        <w:rPr/>
        <w:t>ratio and operating cash flow ratio have no significant impact on the market value of listed consumer goods firms in Nigeria. Free cash flow’s negative effect</w:t>
      </w:r>
      <w:r>
        <w:rPr>
          <w:spacing w:val="-2"/>
        </w:rPr>
        <w:t> </w:t>
      </w:r>
      <w:r>
        <w:rPr/>
        <w:t>on</w:t>
      </w:r>
      <w:r>
        <w:rPr>
          <w:spacing w:val="-1"/>
        </w:rPr>
        <w:t> </w:t>
      </w:r>
      <w:r>
        <w:rPr/>
        <w:t>market value challenges the traditional</w:t>
      </w:r>
      <w:r>
        <w:rPr>
          <w:spacing w:val="-2"/>
        </w:rPr>
        <w:t> </w:t>
      </w:r>
      <w:r>
        <w:rPr/>
        <w:t>positive</w:t>
      </w:r>
      <w:r>
        <w:rPr>
          <w:spacing w:val="-3"/>
        </w:rPr>
        <w:t> </w:t>
      </w:r>
      <w:r>
        <w:rPr/>
        <w:t>relationship (Modigliani &amp;</w:t>
      </w:r>
      <w:r>
        <w:rPr>
          <w:spacing w:val="-3"/>
        </w:rPr>
        <w:t> </w:t>
      </w:r>
      <w:r>
        <w:rPr/>
        <w:t>Miller, 1961); this could</w:t>
      </w:r>
      <w:r>
        <w:rPr>
          <w:spacing w:val="-1"/>
        </w:rPr>
        <w:t> </w:t>
      </w:r>
      <w:r>
        <w:rPr/>
        <w:t>be due to managers' concerns about agency costs or prioritizing steady returns over growth. The positive relationship between capital expenditure to cash flow</w:t>
      </w:r>
    </w:p>
    <w:p>
      <w:pPr>
        <w:pStyle w:val="BodyText"/>
        <w:spacing w:after="0"/>
        <w:sectPr>
          <w:pgSz w:w="11910" w:h="16840"/>
          <w:pgMar w:header="474" w:footer="301" w:top="700" w:bottom="500" w:left="566" w:right="566"/>
        </w:sectPr>
      </w:pPr>
    </w:p>
    <w:p>
      <w:pPr>
        <w:pStyle w:val="BodyText"/>
        <w:spacing w:before="192"/>
        <w:ind w:right="363" w:firstLine="0"/>
        <w:jc w:val="left"/>
      </w:pPr>
      <w:r>
        <w:rPr/>
        <w:t>ratio (CapEx/Cash Flow) and market value suggests that investors value companies that reinvest their cash flow for growth. In</w:t>
      </w:r>
      <w:r>
        <w:rPr>
          <w:spacing w:val="22"/>
        </w:rPr>
        <w:t> </w:t>
      </w:r>
      <w:r>
        <w:rPr/>
        <w:t>the same vein, the positive influence of operating cash flow on market value indicates a company's ability to generate cash flow from operations.</w:t>
      </w:r>
    </w:p>
    <w:p>
      <w:pPr>
        <w:pStyle w:val="BodyText"/>
        <w:ind w:left="0" w:firstLine="0"/>
        <w:jc w:val="left"/>
        <w:rPr>
          <w:sz w:val="20"/>
        </w:rPr>
      </w:pPr>
    </w:p>
    <w:p>
      <w:pPr>
        <w:pStyle w:val="BodyText"/>
        <w:ind w:left="0" w:firstLine="0"/>
        <w:jc w:val="left"/>
        <w:rPr>
          <w:sz w:val="20"/>
        </w:rPr>
      </w:pPr>
    </w:p>
    <w:p>
      <w:pPr>
        <w:pStyle w:val="BodyText"/>
        <w:spacing w:before="36"/>
        <w:ind w:left="0" w:firstLine="0"/>
        <w:jc w:val="left"/>
        <w:rPr>
          <w:sz w:val="20"/>
        </w:rPr>
      </w:pPr>
      <w:r>
        <w:rPr>
          <w:sz w:val="20"/>
        </w:rPr>
        <w:drawing>
          <wp:anchor distT="0" distB="0" distL="0" distR="0" allowOverlap="1" layoutInCell="1" locked="0" behindDoc="1" simplePos="0" relativeHeight="487588864">
            <wp:simplePos x="0" y="0"/>
            <wp:positionH relativeFrom="page">
              <wp:posOffset>997972</wp:posOffset>
            </wp:positionH>
            <wp:positionV relativeFrom="paragraph">
              <wp:posOffset>184180</wp:posOffset>
            </wp:positionV>
            <wp:extent cx="3735237" cy="3086100"/>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3735237" cy="3086100"/>
                    </a:xfrm>
                    <a:prstGeom prst="rect">
                      <a:avLst/>
                    </a:prstGeom>
                  </pic:spPr>
                </pic:pic>
              </a:graphicData>
            </a:graphic>
          </wp:anchor>
        </w:drawing>
      </w:r>
    </w:p>
    <w:p>
      <w:pPr>
        <w:pStyle w:val="BodyText"/>
        <w:spacing w:line="309" w:lineRule="auto" w:before="85"/>
        <w:ind w:left="730" w:right="3066" w:firstLine="0"/>
        <w:jc w:val="left"/>
      </w:pPr>
      <w:r>
        <w:rPr>
          <w:b/>
          <w:color w:val="000000"/>
          <w:highlight w:val="cyan"/>
        </w:rPr>
        <w:t>Figure</w:t>
      </w:r>
      <w:r>
        <w:rPr>
          <w:b/>
          <w:color w:val="000000"/>
          <w:spacing w:val="-4"/>
          <w:highlight w:val="cyan"/>
        </w:rPr>
        <w:t> </w:t>
      </w:r>
      <w:r>
        <w:rPr>
          <w:b/>
          <w:color w:val="000000"/>
          <w:highlight w:val="cyan"/>
        </w:rPr>
        <w:t>1.</w:t>
      </w:r>
      <w:r>
        <w:rPr>
          <w:b/>
          <w:color w:val="000000"/>
          <w:spacing w:val="-3"/>
          <w:highlight w:val="cyan"/>
        </w:rPr>
        <w:t> </w:t>
      </w:r>
      <w:r>
        <w:rPr>
          <w:color w:val="000000"/>
          <w:highlight w:val="cyan"/>
        </w:rPr>
        <w:t>Exact</w:t>
      </w:r>
      <w:r>
        <w:rPr>
          <w:color w:val="000000"/>
          <w:spacing w:val="-3"/>
          <w:highlight w:val="cyan"/>
        </w:rPr>
        <w:t> </w:t>
      </w:r>
      <w:r>
        <w:rPr>
          <w:color w:val="000000"/>
          <w:highlight w:val="cyan"/>
        </w:rPr>
        <w:t>and</w:t>
      </w:r>
      <w:r>
        <w:rPr>
          <w:color w:val="000000"/>
          <w:spacing w:val="-3"/>
          <w:highlight w:val="cyan"/>
        </w:rPr>
        <w:t> </w:t>
      </w:r>
      <w:r>
        <w:rPr>
          <w:color w:val="000000"/>
          <w:highlight w:val="cyan"/>
        </w:rPr>
        <w:t>ADM’s</w:t>
      </w:r>
      <w:r>
        <w:rPr>
          <w:color w:val="000000"/>
          <w:spacing w:val="-4"/>
          <w:highlight w:val="cyan"/>
        </w:rPr>
        <w:t> </w:t>
      </w:r>
      <w:r>
        <w:rPr>
          <w:color w:val="000000"/>
          <w:highlight w:val="cyan"/>
        </w:rPr>
        <w:t>Outcomes:</w:t>
      </w:r>
      <w:r>
        <w:rPr>
          <w:color w:val="000000"/>
          <w:spacing w:val="-3"/>
          <w:highlight w:val="cyan"/>
        </w:rPr>
        <w:t> </w:t>
      </w:r>
      <w:r>
        <w:rPr>
          <w:color w:val="000000"/>
          <w:highlight w:val="cyan"/>
        </w:rPr>
        <w:t>Graphical</w:t>
      </w:r>
      <w:r>
        <w:rPr>
          <w:color w:val="000000"/>
          <w:spacing w:val="-3"/>
          <w:highlight w:val="cyan"/>
        </w:rPr>
        <w:t> </w:t>
      </w:r>
      <w:r>
        <w:rPr>
          <w:color w:val="000000"/>
          <w:highlight w:val="cyan"/>
        </w:rPr>
        <w:t>comparison</w:t>
      </w:r>
      <w:r>
        <w:rPr>
          <w:color w:val="000000"/>
          <w:spacing w:val="-3"/>
          <w:highlight w:val="cyan"/>
        </w:rPr>
        <w:t> </w:t>
      </w:r>
      <w:r>
        <w:rPr>
          <w:color w:val="000000"/>
          <w:highlight w:val="cyan"/>
        </w:rPr>
        <w:t>with</w:t>
      </w:r>
      <w:r>
        <w:rPr>
          <w:color w:val="000000"/>
          <w:spacing w:val="-4"/>
          <w:highlight w:val="cyan"/>
        </w:rPr>
        <w:t> </w:t>
      </w:r>
      <w:r>
        <w:rPr>
          <w:color w:val="000000"/>
          <w:highlight w:val="cyan"/>
        </w:rPr>
        <w:t>the</w:t>
      </w:r>
      <w:r>
        <w:rPr>
          <w:color w:val="000000"/>
          <w:spacing w:val="-4"/>
          <w:highlight w:val="cyan"/>
        </w:rPr>
        <w:t> </w:t>
      </w:r>
      <w:r>
        <w:rPr>
          <w:color w:val="000000"/>
          <w:highlight w:val="cyan"/>
        </w:rPr>
        <w:t>absolute</w:t>
      </w:r>
      <w:r>
        <w:rPr>
          <w:color w:val="000000"/>
          <w:spacing w:val="-3"/>
          <w:highlight w:val="cyan"/>
        </w:rPr>
        <w:t> </w:t>
      </w:r>
      <w:r>
        <w:rPr>
          <w:color w:val="000000"/>
          <w:highlight w:val="cyan"/>
        </w:rPr>
        <w:t>error</w:t>
      </w:r>
      <w:r>
        <w:rPr>
          <w:color w:val="000000"/>
          <w:spacing w:val="-5"/>
          <w:highlight w:val="cyan"/>
        </w:rPr>
        <w:t> </w:t>
      </w:r>
      <w:r>
        <w:rPr>
          <w:color w:val="000000"/>
          <w:highlight w:val="cyan"/>
        </w:rPr>
        <w:t>for</w:t>
      </w:r>
      <w:r>
        <w:rPr>
          <w:color w:val="000000"/>
        </w:rPr>
        <w:t> </w:t>
      </w:r>
      <w:r>
        <w:rPr>
          <w:color w:val="000000"/>
          <w:highlight w:val="cyan"/>
        </w:rPr>
        <w:t>Problem</w:t>
      </w:r>
      <w:r>
        <w:rPr>
          <w:color w:val="000000"/>
          <w:spacing w:val="-4"/>
          <w:highlight w:val="cyan"/>
        </w:rPr>
        <w:t> </w:t>
      </w:r>
      <w:r>
        <w:rPr>
          <w:color w:val="000000"/>
          <w:highlight w:val="cyan"/>
        </w:rPr>
        <w:t>4.1.1.</w:t>
      </w:r>
    </w:p>
    <w:p>
      <w:pPr>
        <w:pStyle w:val="Heading2"/>
        <w:numPr>
          <w:ilvl w:val="0"/>
          <w:numId w:val="2"/>
        </w:numPr>
        <w:tabs>
          <w:tab w:pos="589" w:val="left" w:leader="none"/>
        </w:tabs>
        <w:spacing w:line="240" w:lineRule="auto" w:before="82" w:after="0"/>
        <w:ind w:left="589" w:right="0" w:hanging="220"/>
        <w:jc w:val="left"/>
      </w:pPr>
      <w:r>
        <w:rPr/>
        <w:t>Conclusion</w:t>
      </w:r>
      <w:r>
        <w:rPr>
          <w:spacing w:val="-5"/>
        </w:rPr>
        <w:t> </w:t>
      </w:r>
      <w:r>
        <w:rPr/>
        <w:t>and</w:t>
      </w:r>
      <w:r>
        <w:rPr>
          <w:spacing w:val="-7"/>
        </w:rPr>
        <w:t> </w:t>
      </w:r>
      <w:r>
        <w:rPr>
          <w:spacing w:val="-2"/>
        </w:rPr>
        <w:t>Recommendations</w:t>
      </w:r>
    </w:p>
    <w:p>
      <w:pPr>
        <w:pStyle w:val="BodyText"/>
        <w:spacing w:before="57"/>
        <w:ind w:right="364"/>
      </w:pPr>
      <w:r>
        <w:rPr/>
        <w:t>This study explored the value relevance of cash flow accounting reporting in the Nigerian consumer goods sector. It is organized into five chapters, covering background, problem statement, objectives, scope, and significance. The research review includes conceptual, empirical, and theoretical aspects. The methodology used is ex-post facto, with 14 firms as a sample. Data was analyzed using descriptive statistics,</w:t>
      </w:r>
      <w:r>
        <w:rPr>
          <w:spacing w:val="-3"/>
        </w:rPr>
        <w:t> </w:t>
      </w:r>
      <w:r>
        <w:rPr/>
        <w:t>correlation,</w:t>
      </w:r>
      <w:r>
        <w:rPr>
          <w:spacing w:val="-3"/>
        </w:rPr>
        <w:t> </w:t>
      </w:r>
      <w:r>
        <w:rPr/>
        <w:t>and</w:t>
      </w:r>
      <w:r>
        <w:rPr>
          <w:spacing w:val="-2"/>
        </w:rPr>
        <w:t> </w:t>
      </w:r>
      <w:r>
        <w:rPr/>
        <w:t>multiple</w:t>
      </w:r>
      <w:r>
        <w:rPr>
          <w:spacing w:val="-4"/>
        </w:rPr>
        <w:t> </w:t>
      </w:r>
      <w:r>
        <w:rPr/>
        <w:t>regressions.</w:t>
      </w:r>
      <w:r>
        <w:rPr>
          <w:spacing w:val="-3"/>
        </w:rPr>
        <w:t> </w:t>
      </w:r>
      <w:r>
        <w:rPr/>
        <w:t>Results</w:t>
      </w:r>
      <w:r>
        <w:rPr>
          <w:spacing w:val="-4"/>
        </w:rPr>
        <w:t> </w:t>
      </w:r>
      <w:r>
        <w:rPr/>
        <w:t>showed</w:t>
      </w:r>
      <w:r>
        <w:rPr>
          <w:spacing w:val="-2"/>
        </w:rPr>
        <w:t> </w:t>
      </w:r>
      <w:r>
        <w:rPr/>
        <w:t>that</w:t>
      </w:r>
      <w:r>
        <w:rPr>
          <w:spacing w:val="-3"/>
        </w:rPr>
        <w:t> </w:t>
      </w:r>
      <w:r>
        <w:rPr/>
        <w:t>free</w:t>
      </w:r>
      <w:r>
        <w:rPr>
          <w:spacing w:val="-4"/>
        </w:rPr>
        <w:t> </w:t>
      </w:r>
      <w:r>
        <w:rPr/>
        <w:t>cash</w:t>
      </w:r>
      <w:r>
        <w:rPr>
          <w:spacing w:val="-3"/>
        </w:rPr>
        <w:t> </w:t>
      </w:r>
      <w:r>
        <w:rPr/>
        <w:t>flow</w:t>
      </w:r>
      <w:r>
        <w:rPr>
          <w:spacing w:val="-4"/>
        </w:rPr>
        <w:t> </w:t>
      </w:r>
      <w:r>
        <w:rPr/>
        <w:t>has</w:t>
      </w:r>
      <w:r>
        <w:rPr>
          <w:spacing w:val="-4"/>
        </w:rPr>
        <w:t> </w:t>
      </w:r>
      <w:r>
        <w:rPr/>
        <w:t>a</w:t>
      </w:r>
      <w:r>
        <w:rPr>
          <w:spacing w:val="-4"/>
        </w:rPr>
        <w:t> </w:t>
      </w:r>
      <w:r>
        <w:rPr/>
        <w:t>negative</w:t>
      </w:r>
      <w:r>
        <w:rPr>
          <w:spacing w:val="-4"/>
        </w:rPr>
        <w:t> </w:t>
      </w:r>
      <w:r>
        <w:rPr/>
        <w:t>insignificant</w:t>
      </w:r>
      <w:r>
        <w:rPr>
          <w:spacing w:val="-3"/>
        </w:rPr>
        <w:t> </w:t>
      </w:r>
      <w:r>
        <w:rPr/>
        <w:t>effect</w:t>
      </w:r>
      <w:r>
        <w:rPr>
          <w:spacing w:val="-3"/>
        </w:rPr>
        <w:t> </w:t>
      </w:r>
      <w:r>
        <w:rPr/>
        <w:t>on</w:t>
      </w:r>
      <w:r>
        <w:rPr>
          <w:spacing w:val="-2"/>
        </w:rPr>
        <w:t> </w:t>
      </w:r>
      <w:r>
        <w:rPr/>
        <w:t>the</w:t>
      </w:r>
      <w:r>
        <w:rPr>
          <w:spacing w:val="-4"/>
        </w:rPr>
        <w:t> </w:t>
      </w:r>
      <w:r>
        <w:rPr/>
        <w:t>market</w:t>
      </w:r>
      <w:r>
        <w:rPr>
          <w:spacing w:val="-3"/>
        </w:rPr>
        <w:t> </w:t>
      </w:r>
      <w:r>
        <w:rPr/>
        <w:t>value</w:t>
      </w:r>
      <w:r>
        <w:rPr>
          <w:spacing w:val="-4"/>
        </w:rPr>
        <w:t> </w:t>
      </w:r>
      <w:r>
        <w:rPr/>
        <w:t>of listed firms, while capital expenditure to cash flow ratio and operating cash flow ratio have a positive significant effect.</w:t>
      </w:r>
      <w:r>
        <w:rPr>
          <w:spacing w:val="40"/>
        </w:rPr>
        <w:t> </w:t>
      </w:r>
      <w:r>
        <w:rPr/>
        <w:t>The study found that</w:t>
      </w:r>
      <w:r>
        <w:rPr>
          <w:spacing w:val="-4"/>
        </w:rPr>
        <w:t> </w:t>
      </w:r>
      <w:r>
        <w:rPr/>
        <w:t>cash</w:t>
      </w:r>
      <w:r>
        <w:rPr>
          <w:spacing w:val="-4"/>
        </w:rPr>
        <w:t> </w:t>
      </w:r>
      <w:r>
        <w:rPr/>
        <w:t>flow</w:t>
      </w:r>
      <w:r>
        <w:rPr>
          <w:spacing w:val="-7"/>
        </w:rPr>
        <w:t> </w:t>
      </w:r>
      <w:r>
        <w:rPr/>
        <w:t>reporting</w:t>
      </w:r>
      <w:r>
        <w:rPr>
          <w:spacing w:val="-3"/>
        </w:rPr>
        <w:t> </w:t>
      </w:r>
      <w:r>
        <w:rPr/>
        <w:t>(FCF)</w:t>
      </w:r>
      <w:r>
        <w:rPr>
          <w:spacing w:val="-7"/>
        </w:rPr>
        <w:t> </w:t>
      </w:r>
      <w:r>
        <w:rPr/>
        <w:t>has</w:t>
      </w:r>
      <w:r>
        <w:rPr>
          <w:spacing w:val="-5"/>
        </w:rPr>
        <w:t> </w:t>
      </w:r>
      <w:r>
        <w:rPr/>
        <w:t>a</w:t>
      </w:r>
      <w:r>
        <w:rPr>
          <w:spacing w:val="-5"/>
        </w:rPr>
        <w:t> </w:t>
      </w:r>
      <w:r>
        <w:rPr/>
        <w:t>negative</w:t>
      </w:r>
      <w:r>
        <w:rPr>
          <w:spacing w:val="-5"/>
        </w:rPr>
        <w:t> </w:t>
      </w:r>
      <w:r>
        <w:rPr/>
        <w:t>effect</w:t>
      </w:r>
      <w:r>
        <w:rPr>
          <w:spacing w:val="-6"/>
        </w:rPr>
        <w:t> </w:t>
      </w:r>
      <w:r>
        <w:rPr/>
        <w:t>on</w:t>
      </w:r>
      <w:r>
        <w:rPr>
          <w:spacing w:val="-6"/>
        </w:rPr>
        <w:t> </w:t>
      </w:r>
      <w:r>
        <w:rPr/>
        <w:t>market</w:t>
      </w:r>
      <w:r>
        <w:rPr>
          <w:spacing w:val="-6"/>
        </w:rPr>
        <w:t> </w:t>
      </w:r>
      <w:r>
        <w:rPr/>
        <w:t>value</w:t>
      </w:r>
      <w:r>
        <w:rPr>
          <w:spacing w:val="-5"/>
        </w:rPr>
        <w:t> </w:t>
      </w:r>
      <w:r>
        <w:rPr/>
        <w:t>for</w:t>
      </w:r>
      <w:r>
        <w:rPr>
          <w:spacing w:val="-4"/>
        </w:rPr>
        <w:t> </w:t>
      </w:r>
      <w:r>
        <w:rPr/>
        <w:t>Nigerian</w:t>
      </w:r>
      <w:r>
        <w:rPr>
          <w:spacing w:val="-6"/>
        </w:rPr>
        <w:t> </w:t>
      </w:r>
      <w:r>
        <w:rPr/>
        <w:t>consumer</w:t>
      </w:r>
      <w:r>
        <w:rPr>
          <w:spacing w:val="-4"/>
        </w:rPr>
        <w:t> </w:t>
      </w:r>
      <w:r>
        <w:rPr/>
        <w:t>goods</w:t>
      </w:r>
      <w:r>
        <w:rPr>
          <w:spacing w:val="-5"/>
        </w:rPr>
        <w:t> </w:t>
      </w:r>
      <w:r>
        <w:rPr/>
        <w:t>firms.</w:t>
      </w:r>
      <w:r>
        <w:rPr>
          <w:spacing w:val="-4"/>
        </w:rPr>
        <w:t> </w:t>
      </w:r>
      <w:r>
        <w:rPr/>
        <w:t>However,</w:t>
      </w:r>
      <w:r>
        <w:rPr>
          <w:spacing w:val="-4"/>
        </w:rPr>
        <w:t> </w:t>
      </w:r>
      <w:r>
        <w:rPr/>
        <w:t>it</w:t>
      </w:r>
      <w:r>
        <w:rPr>
          <w:spacing w:val="-4"/>
        </w:rPr>
        <w:t> </w:t>
      </w:r>
      <w:r>
        <w:rPr/>
        <w:t>also</w:t>
      </w:r>
      <w:r>
        <w:rPr>
          <w:spacing w:val="-6"/>
        </w:rPr>
        <w:t> </w:t>
      </w:r>
      <w:r>
        <w:rPr/>
        <w:t>showed</w:t>
      </w:r>
      <w:r>
        <w:rPr>
          <w:spacing w:val="-3"/>
        </w:rPr>
        <w:t> </w:t>
      </w:r>
      <w:r>
        <w:rPr/>
        <w:t>a</w:t>
      </w:r>
      <w:r>
        <w:rPr>
          <w:spacing w:val="-7"/>
        </w:rPr>
        <w:t> </w:t>
      </w:r>
      <w:r>
        <w:rPr/>
        <w:t>positive influence</w:t>
      </w:r>
      <w:r>
        <w:rPr>
          <w:spacing w:val="-7"/>
        </w:rPr>
        <w:t> </w:t>
      </w:r>
      <w:r>
        <w:rPr/>
        <w:t>of</w:t>
      </w:r>
      <w:r>
        <w:rPr>
          <w:spacing w:val="-7"/>
        </w:rPr>
        <w:t> </w:t>
      </w:r>
      <w:r>
        <w:rPr/>
        <w:t>the</w:t>
      </w:r>
      <w:r>
        <w:rPr>
          <w:spacing w:val="-7"/>
        </w:rPr>
        <w:t> </w:t>
      </w:r>
      <w:r>
        <w:rPr/>
        <w:t>CapEx/Cash</w:t>
      </w:r>
      <w:r>
        <w:rPr>
          <w:spacing w:val="-6"/>
        </w:rPr>
        <w:t> </w:t>
      </w:r>
      <w:r>
        <w:rPr/>
        <w:t>Flow</w:t>
      </w:r>
      <w:r>
        <w:rPr>
          <w:spacing w:val="-7"/>
        </w:rPr>
        <w:t> </w:t>
      </w:r>
      <w:r>
        <w:rPr/>
        <w:t>ratio</w:t>
      </w:r>
      <w:r>
        <w:rPr>
          <w:spacing w:val="-6"/>
        </w:rPr>
        <w:t> </w:t>
      </w:r>
      <w:r>
        <w:rPr/>
        <w:t>on</w:t>
      </w:r>
      <w:r>
        <w:rPr>
          <w:spacing w:val="-6"/>
        </w:rPr>
        <w:t> </w:t>
      </w:r>
      <w:r>
        <w:rPr/>
        <w:t>market</w:t>
      </w:r>
      <w:r>
        <w:rPr>
          <w:spacing w:val="-9"/>
        </w:rPr>
        <w:t> </w:t>
      </w:r>
      <w:r>
        <w:rPr/>
        <w:t>value,</w:t>
      </w:r>
      <w:r>
        <w:rPr>
          <w:spacing w:val="-6"/>
        </w:rPr>
        <w:t> </w:t>
      </w:r>
      <w:r>
        <w:rPr/>
        <w:t>indicating</w:t>
      </w:r>
      <w:r>
        <w:rPr>
          <w:spacing w:val="-6"/>
        </w:rPr>
        <w:t> </w:t>
      </w:r>
      <w:r>
        <w:rPr/>
        <w:t>investors</w:t>
      </w:r>
      <w:r>
        <w:rPr>
          <w:spacing w:val="-7"/>
        </w:rPr>
        <w:t> </w:t>
      </w:r>
      <w:r>
        <w:rPr/>
        <w:t>value</w:t>
      </w:r>
      <w:r>
        <w:rPr>
          <w:spacing w:val="-7"/>
        </w:rPr>
        <w:t> </w:t>
      </w:r>
      <w:r>
        <w:rPr/>
        <w:t>companies</w:t>
      </w:r>
      <w:r>
        <w:rPr>
          <w:spacing w:val="-7"/>
        </w:rPr>
        <w:t> </w:t>
      </w:r>
      <w:r>
        <w:rPr/>
        <w:t>that</w:t>
      </w:r>
      <w:r>
        <w:rPr>
          <w:spacing w:val="-6"/>
        </w:rPr>
        <w:t> </w:t>
      </w:r>
      <w:r>
        <w:rPr/>
        <w:t>reinvest</w:t>
      </w:r>
      <w:r>
        <w:rPr>
          <w:spacing w:val="-7"/>
        </w:rPr>
        <w:t> </w:t>
      </w:r>
      <w:r>
        <w:rPr/>
        <w:t>cash</w:t>
      </w:r>
      <w:r>
        <w:rPr>
          <w:spacing w:val="-6"/>
        </w:rPr>
        <w:t> </w:t>
      </w:r>
      <w:r>
        <w:rPr/>
        <w:t>flow</w:t>
      </w:r>
      <w:r>
        <w:rPr>
          <w:spacing w:val="-7"/>
        </w:rPr>
        <w:t> </w:t>
      </w:r>
      <w:r>
        <w:rPr/>
        <w:t>back</w:t>
      </w:r>
      <w:r>
        <w:rPr>
          <w:spacing w:val="-6"/>
        </w:rPr>
        <w:t> </w:t>
      </w:r>
      <w:r>
        <w:rPr/>
        <w:t>into</w:t>
      </w:r>
      <w:r>
        <w:rPr>
          <w:spacing w:val="-6"/>
        </w:rPr>
        <w:t> </w:t>
      </w:r>
      <w:r>
        <w:rPr/>
        <w:t>the</w:t>
      </w:r>
      <w:r>
        <w:rPr>
          <w:spacing w:val="-9"/>
        </w:rPr>
        <w:t> </w:t>
      </w:r>
      <w:r>
        <w:rPr/>
        <w:t>business for growth. The OCF ratio also showed a positive relationship with market value, indicating strong</w:t>
      </w:r>
      <w:r>
        <w:rPr>
          <w:spacing w:val="-1"/>
        </w:rPr>
        <w:t> </w:t>
      </w:r>
      <w:r>
        <w:rPr/>
        <w:t>cash flow generation, profitability, and financial health. The study recommends that firms analyze their current FCF allocation strategy, develop a strategic CapEx plan, and implement strategies to improve operational efficiency and streamline cash flow generation processes. However, the study's limitations include</w:t>
      </w:r>
      <w:r>
        <w:rPr>
          <w:spacing w:val="-7"/>
        </w:rPr>
        <w:t> </w:t>
      </w:r>
      <w:r>
        <w:rPr/>
        <w:t>a</w:t>
      </w:r>
      <w:r>
        <w:rPr>
          <w:spacing w:val="-7"/>
        </w:rPr>
        <w:t> </w:t>
      </w:r>
      <w:r>
        <w:rPr/>
        <w:t>limited</w:t>
      </w:r>
      <w:r>
        <w:rPr>
          <w:spacing w:val="-7"/>
        </w:rPr>
        <w:t> </w:t>
      </w:r>
      <w:r>
        <w:rPr/>
        <w:t>sample</w:t>
      </w:r>
      <w:r>
        <w:rPr>
          <w:spacing w:val="-9"/>
        </w:rPr>
        <w:t> </w:t>
      </w:r>
      <w:r>
        <w:rPr/>
        <w:t>of</w:t>
      </w:r>
      <w:r>
        <w:rPr>
          <w:spacing w:val="-7"/>
        </w:rPr>
        <w:t> </w:t>
      </w:r>
      <w:r>
        <w:rPr/>
        <w:t>companies,</w:t>
      </w:r>
      <w:r>
        <w:rPr>
          <w:spacing w:val="-7"/>
        </w:rPr>
        <w:t> </w:t>
      </w:r>
      <w:r>
        <w:rPr/>
        <w:t>a</w:t>
      </w:r>
      <w:r>
        <w:rPr>
          <w:spacing w:val="-7"/>
        </w:rPr>
        <w:t> </w:t>
      </w:r>
      <w:r>
        <w:rPr/>
        <w:t>ten-year</w:t>
      </w:r>
      <w:r>
        <w:rPr>
          <w:spacing w:val="-7"/>
        </w:rPr>
        <w:t> </w:t>
      </w:r>
      <w:r>
        <w:rPr/>
        <w:t>analysis,</w:t>
      </w:r>
      <w:r>
        <w:rPr>
          <w:spacing w:val="-9"/>
        </w:rPr>
        <w:t> </w:t>
      </w:r>
      <w:r>
        <w:rPr/>
        <w:t>focusing</w:t>
      </w:r>
      <w:r>
        <w:rPr>
          <w:spacing w:val="-8"/>
        </w:rPr>
        <w:t> </w:t>
      </w:r>
      <w:r>
        <w:rPr/>
        <w:t>on</w:t>
      </w:r>
      <w:r>
        <w:rPr>
          <w:spacing w:val="-8"/>
        </w:rPr>
        <w:t> </w:t>
      </w:r>
      <w:r>
        <w:rPr/>
        <w:t>only</w:t>
      </w:r>
      <w:r>
        <w:rPr>
          <w:spacing w:val="-8"/>
        </w:rPr>
        <w:t> </w:t>
      </w:r>
      <w:r>
        <w:rPr/>
        <w:t>three</w:t>
      </w:r>
      <w:r>
        <w:rPr>
          <w:spacing w:val="-7"/>
        </w:rPr>
        <w:t> </w:t>
      </w:r>
      <w:r>
        <w:rPr/>
        <w:t>measures,</w:t>
      </w:r>
      <w:r>
        <w:rPr>
          <w:spacing w:val="-7"/>
        </w:rPr>
        <w:t> </w:t>
      </w:r>
      <w:r>
        <w:rPr/>
        <w:t>and</w:t>
      </w:r>
      <w:r>
        <w:rPr>
          <w:spacing w:val="-7"/>
        </w:rPr>
        <w:t> </w:t>
      </w:r>
      <w:r>
        <w:rPr/>
        <w:t>analyzing</w:t>
      </w:r>
      <w:r>
        <w:rPr>
          <w:spacing w:val="-8"/>
        </w:rPr>
        <w:t> </w:t>
      </w:r>
      <w:r>
        <w:rPr/>
        <w:t>only</w:t>
      </w:r>
      <w:r>
        <w:rPr>
          <w:spacing w:val="-7"/>
        </w:rPr>
        <w:t> </w:t>
      </w:r>
      <w:r>
        <w:rPr/>
        <w:t>listed</w:t>
      </w:r>
      <w:r>
        <w:rPr>
          <w:spacing w:val="-7"/>
        </w:rPr>
        <w:t> </w:t>
      </w:r>
      <w:r>
        <w:rPr/>
        <w:t>firms.</w:t>
      </w:r>
      <w:r>
        <w:rPr>
          <w:spacing w:val="-8"/>
        </w:rPr>
        <w:t> </w:t>
      </w:r>
      <w:r>
        <w:rPr/>
        <w:t>Future</w:t>
      </w:r>
      <w:r>
        <w:rPr>
          <w:spacing w:val="-7"/>
        </w:rPr>
        <w:t> </w:t>
      </w:r>
      <w:r>
        <w:rPr/>
        <w:t>research should consider incorporating</w:t>
      </w:r>
      <w:r>
        <w:rPr>
          <w:spacing w:val="-1"/>
        </w:rPr>
        <w:t> </w:t>
      </w:r>
      <w:r>
        <w:rPr/>
        <w:t>other models of value relevance, taking a holistic approach to market</w:t>
      </w:r>
      <w:r>
        <w:rPr>
          <w:spacing w:val="-2"/>
        </w:rPr>
        <w:t> </w:t>
      </w:r>
      <w:r>
        <w:rPr/>
        <w:t>performance, and expanding the scope to include more countries.</w:t>
      </w:r>
    </w:p>
    <w:p>
      <w:pPr>
        <w:spacing w:line="309" w:lineRule="auto" w:before="60"/>
        <w:ind w:left="730" w:right="5405" w:firstLine="0"/>
        <w:jc w:val="left"/>
        <w:rPr>
          <w:b/>
          <w:sz w:val="18"/>
        </w:rPr>
      </w:pPr>
      <w:r>
        <w:rPr>
          <w:b/>
          <w:color w:val="000000"/>
          <w:sz w:val="18"/>
          <w:highlight w:val="cyan"/>
        </w:rPr>
        <w:t>Abbreviations and Greek symbols used in this work.</w:t>
      </w:r>
      <w:r>
        <w:rPr>
          <w:b/>
          <w:color w:val="000000"/>
          <w:spacing w:val="80"/>
          <w:sz w:val="18"/>
        </w:rPr>
        <w:t> </w:t>
      </w:r>
      <w:r>
        <w:rPr>
          <w:b/>
          <w:color w:val="000000"/>
          <w:sz w:val="18"/>
          <w:highlight w:val="cyan"/>
        </w:rPr>
        <w:t>Author</w:t>
      </w:r>
      <w:r>
        <w:rPr>
          <w:b/>
          <w:color w:val="000000"/>
          <w:spacing w:val="-6"/>
          <w:sz w:val="18"/>
          <w:highlight w:val="cyan"/>
        </w:rPr>
        <w:t> </w:t>
      </w:r>
      <w:r>
        <w:rPr>
          <w:b/>
          <w:color w:val="000000"/>
          <w:sz w:val="18"/>
          <w:highlight w:val="cyan"/>
        </w:rPr>
        <w:t>contributions</w:t>
      </w:r>
      <w:r>
        <w:rPr>
          <w:b/>
          <w:color w:val="000000"/>
          <w:spacing w:val="18"/>
          <w:sz w:val="18"/>
          <w:highlight w:val="cyan"/>
        </w:rPr>
        <w:t> </w:t>
      </w:r>
      <w:r>
        <w:rPr>
          <w:b/>
          <w:color w:val="000000"/>
          <w:sz w:val="18"/>
          <w:highlight w:val="cyan"/>
        </w:rPr>
        <w:t>Use</w:t>
      </w:r>
      <w:r>
        <w:rPr>
          <w:b/>
          <w:color w:val="000000"/>
          <w:spacing w:val="-6"/>
          <w:sz w:val="18"/>
          <w:highlight w:val="cyan"/>
        </w:rPr>
        <w:t> </w:t>
      </w:r>
      <w:r>
        <w:rPr>
          <w:b/>
          <w:color w:val="000000"/>
          <w:sz w:val="18"/>
          <w:highlight w:val="cyan"/>
        </w:rPr>
        <w:t>of</w:t>
      </w:r>
      <w:r>
        <w:rPr>
          <w:b/>
          <w:color w:val="000000"/>
          <w:spacing w:val="-5"/>
          <w:sz w:val="18"/>
          <w:highlight w:val="cyan"/>
        </w:rPr>
        <w:t> </w:t>
      </w:r>
      <w:r>
        <w:rPr>
          <w:b/>
          <w:color w:val="000000"/>
          <w:sz w:val="18"/>
          <w:highlight w:val="cyan"/>
        </w:rPr>
        <w:t>Generative</w:t>
      </w:r>
      <w:r>
        <w:rPr>
          <w:b/>
          <w:color w:val="000000"/>
          <w:spacing w:val="-6"/>
          <w:sz w:val="18"/>
          <w:highlight w:val="cyan"/>
        </w:rPr>
        <w:t> </w:t>
      </w:r>
      <w:r>
        <w:rPr>
          <w:b/>
          <w:color w:val="000000"/>
          <w:sz w:val="18"/>
          <w:highlight w:val="cyan"/>
        </w:rPr>
        <w:t>AI</w:t>
      </w:r>
      <w:r>
        <w:rPr>
          <w:b/>
          <w:color w:val="000000"/>
          <w:spacing w:val="-6"/>
          <w:sz w:val="18"/>
          <w:highlight w:val="cyan"/>
        </w:rPr>
        <w:t> </w:t>
      </w:r>
      <w:r>
        <w:rPr>
          <w:b/>
          <w:color w:val="000000"/>
          <w:sz w:val="18"/>
          <w:highlight w:val="cyan"/>
        </w:rPr>
        <w:t>tools</w:t>
      </w:r>
      <w:r>
        <w:rPr>
          <w:b/>
          <w:color w:val="000000"/>
          <w:spacing w:val="-6"/>
          <w:sz w:val="18"/>
          <w:highlight w:val="cyan"/>
        </w:rPr>
        <w:t> </w:t>
      </w:r>
      <w:r>
        <w:rPr>
          <w:b/>
          <w:color w:val="000000"/>
          <w:sz w:val="18"/>
          <w:highlight w:val="cyan"/>
        </w:rPr>
        <w:t>declaration</w:t>
      </w:r>
      <w:r>
        <w:rPr>
          <w:b/>
          <w:color w:val="000000"/>
          <w:sz w:val="18"/>
        </w:rPr>
        <w:t> </w:t>
      </w:r>
      <w:r>
        <w:rPr>
          <w:b/>
          <w:color w:val="000000"/>
          <w:spacing w:val="-2"/>
          <w:sz w:val="18"/>
          <w:highlight w:val="cyan"/>
        </w:rPr>
        <w:t>Acknowledgments</w:t>
      </w:r>
    </w:p>
    <w:p>
      <w:pPr>
        <w:spacing w:before="1"/>
        <w:ind w:left="730" w:right="0" w:firstLine="0"/>
        <w:jc w:val="left"/>
        <w:rPr>
          <w:b/>
          <w:sz w:val="18"/>
        </w:rPr>
      </w:pPr>
      <w:r>
        <w:rPr>
          <w:b/>
          <w:color w:val="000000"/>
          <w:spacing w:val="-2"/>
          <w:sz w:val="18"/>
          <w:highlight w:val="cyan"/>
        </w:rPr>
        <w:t>Funding</w:t>
      </w:r>
    </w:p>
    <w:p>
      <w:pPr>
        <w:spacing w:before="60"/>
        <w:ind w:left="730" w:right="0" w:firstLine="0"/>
        <w:jc w:val="left"/>
        <w:rPr>
          <w:b/>
          <w:sz w:val="18"/>
        </w:rPr>
      </w:pPr>
      <w:r>
        <w:rPr>
          <w:b/>
          <w:color w:val="000000"/>
          <w:sz w:val="18"/>
          <w:highlight w:val="cyan"/>
        </w:rPr>
        <w:t>Conflict of</w:t>
      </w:r>
      <w:r>
        <w:rPr>
          <w:b/>
          <w:color w:val="000000"/>
          <w:spacing w:val="-2"/>
          <w:sz w:val="18"/>
          <w:highlight w:val="cyan"/>
        </w:rPr>
        <w:t> interest</w:t>
      </w:r>
    </w:p>
    <w:p>
      <w:pPr>
        <w:pStyle w:val="Heading2"/>
        <w:ind w:left="369" w:firstLine="0"/>
      </w:pPr>
      <w:r>
        <w:rPr>
          <w:spacing w:val="-2"/>
        </w:rPr>
        <w:t>References</w:t>
      </w:r>
    </w:p>
    <w:p>
      <w:pPr>
        <w:tabs>
          <w:tab w:pos="1090" w:val="left" w:leader="none"/>
        </w:tabs>
        <w:spacing w:line="228" w:lineRule="auto" w:before="57"/>
        <w:ind w:left="1090" w:right="363" w:hanging="360"/>
        <w:jc w:val="left"/>
        <w:rPr>
          <w:sz w:val="16"/>
        </w:rPr>
      </w:pPr>
      <w:r>
        <w:rPr>
          <w:color w:val="000000"/>
          <w:spacing w:val="-6"/>
          <w:sz w:val="16"/>
          <w:highlight w:val="cyan"/>
        </w:rPr>
        <w:t>1.</w:t>
      </w:r>
      <w:r>
        <w:rPr>
          <w:color w:val="000000"/>
          <w:sz w:val="16"/>
          <w:highlight w:val="cyan"/>
        </w:rPr>
        <w:tab/>
        <w:t>Acaranupong, W. (2018). Examining and comparing the value relevance of earnings, book values, and cash flows. Journal of Accounting and</w:t>
      </w:r>
      <w:r>
        <w:rPr>
          <w:color w:val="000000"/>
          <w:spacing w:val="40"/>
          <w:sz w:val="16"/>
        </w:rPr>
        <w:t> </w:t>
      </w:r>
      <w:r>
        <w:rPr>
          <w:color w:val="000000"/>
          <w:sz w:val="16"/>
          <w:highlight w:val="cyan"/>
        </w:rPr>
        <w:t>Finance, 18(3), 231-248</w:t>
      </w:r>
      <w:r>
        <w:rPr>
          <w:color w:val="000000"/>
          <w:sz w:val="16"/>
        </w:rPr>
        <w:t>.</w:t>
      </w:r>
    </w:p>
    <w:p>
      <w:pPr>
        <w:spacing w:before="13"/>
        <w:ind w:left="369" w:right="0" w:firstLine="0"/>
        <w:jc w:val="left"/>
        <w:rPr>
          <w:sz w:val="16"/>
        </w:rPr>
      </w:pPr>
      <w:r>
        <w:rPr>
          <w:sz w:val="16"/>
        </w:rPr>
        <w:t>Adegbite,</w:t>
      </w:r>
      <w:r>
        <w:rPr>
          <w:spacing w:val="-9"/>
          <w:sz w:val="16"/>
        </w:rPr>
        <w:t> </w:t>
      </w:r>
      <w:r>
        <w:rPr>
          <w:sz w:val="16"/>
        </w:rPr>
        <w:t>T.,</w:t>
      </w:r>
      <w:r>
        <w:rPr>
          <w:spacing w:val="-6"/>
          <w:sz w:val="16"/>
        </w:rPr>
        <w:t> </w:t>
      </w:r>
      <w:r>
        <w:rPr>
          <w:sz w:val="16"/>
        </w:rPr>
        <w:t>Akinyemi,</w:t>
      </w:r>
      <w:r>
        <w:rPr>
          <w:spacing w:val="-7"/>
          <w:sz w:val="16"/>
        </w:rPr>
        <w:t> </w:t>
      </w:r>
      <w:r>
        <w:rPr>
          <w:sz w:val="16"/>
        </w:rPr>
        <w:t>B.,</w:t>
      </w:r>
      <w:r>
        <w:rPr>
          <w:spacing w:val="-4"/>
          <w:sz w:val="16"/>
        </w:rPr>
        <w:t> </w:t>
      </w:r>
      <w:r>
        <w:rPr>
          <w:sz w:val="16"/>
        </w:rPr>
        <w:t>&amp;</w:t>
      </w:r>
      <w:r>
        <w:rPr>
          <w:spacing w:val="-7"/>
          <w:sz w:val="16"/>
        </w:rPr>
        <w:t> </w:t>
      </w:r>
      <w:r>
        <w:rPr>
          <w:sz w:val="16"/>
        </w:rPr>
        <w:t>Uche,</w:t>
      </w:r>
      <w:r>
        <w:rPr>
          <w:spacing w:val="-8"/>
          <w:sz w:val="16"/>
        </w:rPr>
        <w:t> </w:t>
      </w:r>
      <w:r>
        <w:rPr>
          <w:sz w:val="16"/>
        </w:rPr>
        <w:t>P.</w:t>
      </w:r>
      <w:r>
        <w:rPr>
          <w:spacing w:val="-4"/>
          <w:sz w:val="16"/>
        </w:rPr>
        <w:t> </w:t>
      </w:r>
      <w:r>
        <w:rPr>
          <w:sz w:val="16"/>
        </w:rPr>
        <w:t>(2024).</w:t>
      </w:r>
      <w:r>
        <w:rPr>
          <w:spacing w:val="-6"/>
          <w:sz w:val="16"/>
        </w:rPr>
        <w:t> </w:t>
      </w:r>
      <w:r>
        <w:rPr>
          <w:sz w:val="16"/>
        </w:rPr>
        <w:t>Cash</w:t>
      </w:r>
      <w:r>
        <w:rPr>
          <w:spacing w:val="-4"/>
          <w:sz w:val="16"/>
        </w:rPr>
        <w:t> </w:t>
      </w:r>
      <w:r>
        <w:rPr>
          <w:sz w:val="16"/>
        </w:rPr>
        <w:t>flow</w:t>
      </w:r>
      <w:r>
        <w:rPr>
          <w:spacing w:val="-7"/>
          <w:sz w:val="16"/>
        </w:rPr>
        <w:t> </w:t>
      </w:r>
      <w:r>
        <w:rPr>
          <w:sz w:val="16"/>
        </w:rPr>
        <w:t>metrics</w:t>
      </w:r>
      <w:r>
        <w:rPr>
          <w:spacing w:val="-7"/>
          <w:sz w:val="16"/>
        </w:rPr>
        <w:t> </w:t>
      </w:r>
      <w:r>
        <w:rPr>
          <w:sz w:val="16"/>
        </w:rPr>
        <w:t>and</w:t>
      </w:r>
      <w:r>
        <w:rPr>
          <w:spacing w:val="-5"/>
          <w:sz w:val="16"/>
        </w:rPr>
        <w:t> </w:t>
      </w:r>
      <w:r>
        <w:rPr>
          <w:sz w:val="16"/>
        </w:rPr>
        <w:t>corporate</w:t>
      </w:r>
      <w:r>
        <w:rPr>
          <w:spacing w:val="-4"/>
          <w:sz w:val="16"/>
        </w:rPr>
        <w:t> </w:t>
      </w:r>
      <w:r>
        <w:rPr>
          <w:sz w:val="16"/>
        </w:rPr>
        <w:t>resilience</w:t>
      </w:r>
      <w:r>
        <w:rPr>
          <w:spacing w:val="-4"/>
          <w:sz w:val="16"/>
        </w:rPr>
        <w:t> </w:t>
      </w:r>
      <w:r>
        <w:rPr>
          <w:sz w:val="16"/>
        </w:rPr>
        <w:t>in</w:t>
      </w:r>
      <w:r>
        <w:rPr>
          <w:spacing w:val="-3"/>
          <w:sz w:val="16"/>
        </w:rPr>
        <w:t> </w:t>
      </w:r>
      <w:r>
        <w:rPr>
          <w:sz w:val="16"/>
        </w:rPr>
        <w:t>Nigeria.</w:t>
      </w:r>
      <w:r>
        <w:rPr>
          <w:spacing w:val="-4"/>
          <w:sz w:val="16"/>
        </w:rPr>
        <w:t> </w:t>
      </w:r>
      <w:r>
        <w:rPr>
          <w:sz w:val="16"/>
        </w:rPr>
        <w:t>West</w:t>
      </w:r>
      <w:r>
        <w:rPr>
          <w:spacing w:val="-6"/>
          <w:sz w:val="16"/>
        </w:rPr>
        <w:t> </w:t>
      </w:r>
      <w:r>
        <w:rPr>
          <w:sz w:val="16"/>
        </w:rPr>
        <w:t>African</w:t>
      </w:r>
      <w:r>
        <w:rPr>
          <w:spacing w:val="-4"/>
          <w:sz w:val="16"/>
        </w:rPr>
        <w:t> </w:t>
      </w:r>
      <w:r>
        <w:rPr>
          <w:sz w:val="16"/>
        </w:rPr>
        <w:t>Journal</w:t>
      </w:r>
      <w:r>
        <w:rPr>
          <w:spacing w:val="-5"/>
          <w:sz w:val="16"/>
        </w:rPr>
        <w:t> </w:t>
      </w:r>
      <w:r>
        <w:rPr>
          <w:sz w:val="16"/>
        </w:rPr>
        <w:t>of</w:t>
      </w:r>
      <w:r>
        <w:rPr>
          <w:spacing w:val="2"/>
          <w:sz w:val="16"/>
        </w:rPr>
        <w:t> </w:t>
      </w:r>
      <w:r>
        <w:rPr>
          <w:sz w:val="16"/>
        </w:rPr>
        <w:t>Management,</w:t>
      </w:r>
      <w:r>
        <w:rPr>
          <w:spacing w:val="-6"/>
          <w:sz w:val="16"/>
        </w:rPr>
        <w:t> </w:t>
      </w:r>
      <w:r>
        <w:rPr>
          <w:sz w:val="16"/>
        </w:rPr>
        <w:t>30(1),</w:t>
      </w:r>
      <w:r>
        <w:rPr>
          <w:spacing w:val="-6"/>
          <w:sz w:val="16"/>
        </w:rPr>
        <w:t> </w:t>
      </w:r>
      <w:r>
        <w:rPr>
          <w:sz w:val="16"/>
        </w:rPr>
        <w:t>88–</w:t>
      </w:r>
      <w:r>
        <w:rPr>
          <w:spacing w:val="-4"/>
          <w:sz w:val="16"/>
        </w:rPr>
        <w:t>102.</w:t>
      </w:r>
    </w:p>
    <w:p>
      <w:pPr>
        <w:spacing w:line="228" w:lineRule="auto" w:before="18"/>
        <w:ind w:left="687" w:right="363" w:hanging="318"/>
        <w:jc w:val="left"/>
        <w:rPr>
          <w:sz w:val="16"/>
        </w:rPr>
      </w:pPr>
      <w:r>
        <w:rPr>
          <w:sz w:val="16"/>
        </w:rPr>
        <w:t>Akadakpo, J. O., &amp; Mgbame, T. I. (2018). The impact of timeliness on the value relevance of accounting information. International Journal of Accounting</w:t>
      </w:r>
      <w:r>
        <w:rPr>
          <w:spacing w:val="40"/>
          <w:sz w:val="16"/>
        </w:rPr>
        <w:t> </w:t>
      </w:r>
      <w:r>
        <w:rPr>
          <w:sz w:val="16"/>
        </w:rPr>
        <w:t>and Financial Reporting, 6(4), 213-228.</w:t>
      </w:r>
    </w:p>
    <w:p>
      <w:pPr>
        <w:spacing w:line="254" w:lineRule="auto" w:before="15"/>
        <w:ind w:left="369" w:right="1575" w:firstLine="0"/>
        <w:jc w:val="left"/>
        <w:rPr>
          <w:sz w:val="16"/>
        </w:rPr>
      </w:pPr>
      <w:r>
        <w:rPr>
          <w:sz w:val="16"/>
        </w:rPr>
        <w:t>Baas,</w:t>
      </w:r>
      <w:r>
        <w:rPr>
          <w:spacing w:val="-1"/>
          <w:sz w:val="16"/>
        </w:rPr>
        <w:t> </w:t>
      </w:r>
      <w:r>
        <w:rPr>
          <w:sz w:val="16"/>
        </w:rPr>
        <w:t>T.,</w:t>
      </w:r>
      <w:r>
        <w:rPr>
          <w:spacing w:val="-4"/>
          <w:sz w:val="16"/>
        </w:rPr>
        <w:t> </w:t>
      </w:r>
      <w:r>
        <w:rPr>
          <w:sz w:val="16"/>
        </w:rPr>
        <w:t>et</w:t>
      </w:r>
      <w:r>
        <w:rPr>
          <w:spacing w:val="-3"/>
          <w:sz w:val="16"/>
        </w:rPr>
        <w:t> </w:t>
      </w:r>
      <w:r>
        <w:rPr>
          <w:sz w:val="16"/>
        </w:rPr>
        <w:t>al.</w:t>
      </w:r>
      <w:r>
        <w:rPr>
          <w:spacing w:val="-1"/>
          <w:sz w:val="16"/>
        </w:rPr>
        <w:t> </w:t>
      </w:r>
      <w:r>
        <w:rPr>
          <w:sz w:val="16"/>
        </w:rPr>
        <w:t>(2017).</w:t>
      </w:r>
      <w:r>
        <w:rPr>
          <w:spacing w:val="-1"/>
          <w:sz w:val="16"/>
        </w:rPr>
        <w:t> </w:t>
      </w:r>
      <w:r>
        <w:rPr>
          <w:sz w:val="16"/>
        </w:rPr>
        <w:t>Free</w:t>
      </w:r>
      <w:r>
        <w:rPr>
          <w:spacing w:val="-1"/>
          <w:sz w:val="16"/>
        </w:rPr>
        <w:t> </w:t>
      </w:r>
      <w:r>
        <w:rPr>
          <w:sz w:val="16"/>
        </w:rPr>
        <w:t>Cash</w:t>
      </w:r>
      <w:r>
        <w:rPr>
          <w:spacing w:val="-1"/>
          <w:sz w:val="16"/>
        </w:rPr>
        <w:t> </w:t>
      </w:r>
      <w:r>
        <w:rPr>
          <w:sz w:val="16"/>
        </w:rPr>
        <w:t>Flow</w:t>
      </w:r>
      <w:r>
        <w:rPr>
          <w:spacing w:val="-3"/>
          <w:sz w:val="16"/>
        </w:rPr>
        <w:t> </w:t>
      </w:r>
      <w:r>
        <w:rPr>
          <w:sz w:val="16"/>
        </w:rPr>
        <w:t>and</w:t>
      </w:r>
      <w:r>
        <w:rPr>
          <w:spacing w:val="-1"/>
          <w:sz w:val="16"/>
        </w:rPr>
        <w:t> </w:t>
      </w:r>
      <w:r>
        <w:rPr>
          <w:sz w:val="16"/>
        </w:rPr>
        <w:t>Firm</w:t>
      </w:r>
      <w:r>
        <w:rPr>
          <w:spacing w:val="-2"/>
          <w:sz w:val="16"/>
        </w:rPr>
        <w:t> </w:t>
      </w:r>
      <w:r>
        <w:rPr>
          <w:sz w:val="16"/>
        </w:rPr>
        <w:t>Performance</w:t>
      </w:r>
      <w:r>
        <w:rPr>
          <w:spacing w:val="-4"/>
          <w:sz w:val="16"/>
        </w:rPr>
        <w:t> </w:t>
      </w:r>
      <w:r>
        <w:rPr>
          <w:sz w:val="16"/>
        </w:rPr>
        <w:t>in</w:t>
      </w:r>
      <w:r>
        <w:rPr>
          <w:spacing w:val="-1"/>
          <w:sz w:val="16"/>
        </w:rPr>
        <w:t> </w:t>
      </w:r>
      <w:r>
        <w:rPr>
          <w:sz w:val="16"/>
        </w:rPr>
        <w:t>Emerging</w:t>
      </w:r>
      <w:r>
        <w:rPr>
          <w:spacing w:val="-3"/>
          <w:sz w:val="16"/>
        </w:rPr>
        <w:t> </w:t>
      </w:r>
      <w:r>
        <w:rPr>
          <w:sz w:val="16"/>
        </w:rPr>
        <w:t>Markets.</w:t>
      </w:r>
      <w:r>
        <w:rPr>
          <w:spacing w:val="-4"/>
          <w:sz w:val="16"/>
        </w:rPr>
        <w:t> </w:t>
      </w:r>
      <w:r>
        <w:rPr>
          <w:sz w:val="16"/>
        </w:rPr>
        <w:t>Journal</w:t>
      </w:r>
      <w:r>
        <w:rPr>
          <w:spacing w:val="-3"/>
          <w:sz w:val="16"/>
        </w:rPr>
        <w:t> </w:t>
      </w:r>
      <w:r>
        <w:rPr>
          <w:sz w:val="16"/>
        </w:rPr>
        <w:t>of</w:t>
      </w:r>
      <w:r>
        <w:rPr>
          <w:spacing w:val="-3"/>
          <w:sz w:val="16"/>
        </w:rPr>
        <w:t> </w:t>
      </w:r>
      <w:r>
        <w:rPr>
          <w:sz w:val="16"/>
        </w:rPr>
        <w:t>Financial</w:t>
      </w:r>
      <w:r>
        <w:rPr>
          <w:spacing w:val="-3"/>
          <w:sz w:val="16"/>
        </w:rPr>
        <w:t> </w:t>
      </w:r>
      <w:r>
        <w:rPr>
          <w:sz w:val="16"/>
        </w:rPr>
        <w:t>Research,</w:t>
      </w:r>
      <w:r>
        <w:rPr>
          <w:spacing w:val="-4"/>
          <w:sz w:val="16"/>
        </w:rPr>
        <w:t> </w:t>
      </w:r>
      <w:r>
        <w:rPr>
          <w:sz w:val="16"/>
        </w:rPr>
        <w:t>40(2),</w:t>
      </w:r>
      <w:r>
        <w:rPr>
          <w:spacing w:val="-4"/>
          <w:sz w:val="16"/>
        </w:rPr>
        <w:t> </w:t>
      </w:r>
      <w:r>
        <w:rPr>
          <w:sz w:val="16"/>
        </w:rPr>
        <w:t>147-168.</w:t>
      </w:r>
      <w:r>
        <w:rPr>
          <w:spacing w:val="40"/>
          <w:sz w:val="16"/>
        </w:rPr>
        <w:t> </w:t>
      </w:r>
      <w:r>
        <w:rPr>
          <w:sz w:val="16"/>
        </w:rPr>
        <w:t>Brown, H. D. (1995). Valuation of intangible assets. John Wiley &amp; Sons.</w:t>
      </w:r>
    </w:p>
    <w:p>
      <w:pPr>
        <w:spacing w:line="183" w:lineRule="exact" w:before="0"/>
        <w:ind w:left="369" w:right="0" w:firstLine="0"/>
        <w:jc w:val="left"/>
        <w:rPr>
          <w:sz w:val="16"/>
        </w:rPr>
      </w:pPr>
      <w:r>
        <w:rPr>
          <w:sz w:val="16"/>
        </w:rPr>
        <w:t>Chen,</w:t>
      </w:r>
      <w:r>
        <w:rPr>
          <w:spacing w:val="-6"/>
          <w:sz w:val="16"/>
        </w:rPr>
        <w:t> </w:t>
      </w:r>
      <w:r>
        <w:rPr>
          <w:sz w:val="16"/>
        </w:rPr>
        <w:t>L.,</w:t>
      </w:r>
      <w:r>
        <w:rPr>
          <w:spacing w:val="-7"/>
          <w:sz w:val="16"/>
        </w:rPr>
        <w:t> </w:t>
      </w:r>
      <w:r>
        <w:rPr>
          <w:sz w:val="16"/>
        </w:rPr>
        <w:t>et</w:t>
      </w:r>
      <w:r>
        <w:rPr>
          <w:spacing w:val="-6"/>
          <w:sz w:val="16"/>
        </w:rPr>
        <w:t> </w:t>
      </w:r>
      <w:r>
        <w:rPr>
          <w:sz w:val="16"/>
        </w:rPr>
        <w:t>al.</w:t>
      </w:r>
      <w:r>
        <w:rPr>
          <w:spacing w:val="-4"/>
          <w:sz w:val="16"/>
        </w:rPr>
        <w:t> </w:t>
      </w:r>
      <w:r>
        <w:rPr>
          <w:sz w:val="16"/>
        </w:rPr>
        <w:t>(2018).</w:t>
      </w:r>
      <w:r>
        <w:rPr>
          <w:spacing w:val="-4"/>
          <w:sz w:val="16"/>
        </w:rPr>
        <w:t> </w:t>
      </w:r>
      <w:r>
        <w:rPr>
          <w:sz w:val="16"/>
        </w:rPr>
        <w:t>Cash</w:t>
      </w:r>
      <w:r>
        <w:rPr>
          <w:spacing w:val="-4"/>
          <w:sz w:val="16"/>
        </w:rPr>
        <w:t> </w:t>
      </w:r>
      <w:r>
        <w:rPr>
          <w:sz w:val="16"/>
        </w:rPr>
        <w:t>Flow</w:t>
      </w:r>
      <w:r>
        <w:rPr>
          <w:spacing w:val="-7"/>
          <w:sz w:val="16"/>
        </w:rPr>
        <w:t> </w:t>
      </w:r>
      <w:r>
        <w:rPr>
          <w:sz w:val="16"/>
        </w:rPr>
        <w:t>Ratios</w:t>
      </w:r>
      <w:r>
        <w:rPr>
          <w:spacing w:val="-7"/>
          <w:sz w:val="16"/>
        </w:rPr>
        <w:t> </w:t>
      </w:r>
      <w:r>
        <w:rPr>
          <w:sz w:val="16"/>
        </w:rPr>
        <w:t>and</w:t>
      </w:r>
      <w:r>
        <w:rPr>
          <w:spacing w:val="-6"/>
          <w:sz w:val="16"/>
        </w:rPr>
        <w:t> </w:t>
      </w:r>
      <w:r>
        <w:rPr>
          <w:sz w:val="16"/>
        </w:rPr>
        <w:t>Firm</w:t>
      </w:r>
      <w:r>
        <w:rPr>
          <w:spacing w:val="-5"/>
          <w:sz w:val="16"/>
        </w:rPr>
        <w:t> </w:t>
      </w:r>
      <w:r>
        <w:rPr>
          <w:sz w:val="16"/>
        </w:rPr>
        <w:t>Valuation:</w:t>
      </w:r>
      <w:r>
        <w:rPr>
          <w:spacing w:val="-4"/>
          <w:sz w:val="16"/>
        </w:rPr>
        <w:t> </w:t>
      </w:r>
      <w:r>
        <w:rPr>
          <w:sz w:val="16"/>
        </w:rPr>
        <w:t>Evidence</w:t>
      </w:r>
      <w:r>
        <w:rPr>
          <w:spacing w:val="-4"/>
          <w:sz w:val="16"/>
        </w:rPr>
        <w:t> </w:t>
      </w:r>
      <w:r>
        <w:rPr>
          <w:sz w:val="16"/>
        </w:rPr>
        <w:t>from</w:t>
      </w:r>
      <w:r>
        <w:rPr>
          <w:spacing w:val="-4"/>
          <w:sz w:val="16"/>
        </w:rPr>
        <w:t> </w:t>
      </w:r>
      <w:r>
        <w:rPr>
          <w:sz w:val="16"/>
        </w:rPr>
        <w:t>Sub-Saharan</w:t>
      </w:r>
      <w:r>
        <w:rPr>
          <w:spacing w:val="-4"/>
          <w:sz w:val="16"/>
        </w:rPr>
        <w:t> </w:t>
      </w:r>
      <w:r>
        <w:rPr>
          <w:sz w:val="16"/>
        </w:rPr>
        <w:t>Africa.</w:t>
      </w:r>
      <w:r>
        <w:rPr>
          <w:spacing w:val="-7"/>
          <w:sz w:val="16"/>
        </w:rPr>
        <w:t> </w:t>
      </w:r>
      <w:r>
        <w:rPr>
          <w:sz w:val="16"/>
        </w:rPr>
        <w:t>Journal</w:t>
      </w:r>
      <w:r>
        <w:rPr>
          <w:spacing w:val="-6"/>
          <w:sz w:val="16"/>
        </w:rPr>
        <w:t> </w:t>
      </w:r>
      <w:r>
        <w:rPr>
          <w:sz w:val="16"/>
        </w:rPr>
        <w:t>of</w:t>
      </w:r>
      <w:r>
        <w:rPr>
          <w:spacing w:val="-5"/>
          <w:sz w:val="16"/>
        </w:rPr>
        <w:t> </w:t>
      </w:r>
      <w:r>
        <w:rPr>
          <w:sz w:val="16"/>
        </w:rPr>
        <w:t>African</w:t>
      </w:r>
      <w:r>
        <w:rPr>
          <w:spacing w:val="-6"/>
          <w:sz w:val="16"/>
        </w:rPr>
        <w:t> </w:t>
      </w:r>
      <w:r>
        <w:rPr>
          <w:sz w:val="16"/>
        </w:rPr>
        <w:t>Business,</w:t>
      </w:r>
      <w:r>
        <w:rPr>
          <w:spacing w:val="-7"/>
          <w:sz w:val="16"/>
        </w:rPr>
        <w:t> </w:t>
      </w:r>
      <w:r>
        <w:rPr>
          <w:sz w:val="16"/>
        </w:rPr>
        <w:t>19(3),</w:t>
      </w:r>
      <w:r>
        <w:rPr>
          <w:spacing w:val="-6"/>
          <w:sz w:val="16"/>
        </w:rPr>
        <w:t> </w:t>
      </w:r>
      <w:r>
        <w:rPr>
          <w:sz w:val="16"/>
        </w:rPr>
        <w:t>345-</w:t>
      </w:r>
      <w:r>
        <w:rPr>
          <w:spacing w:val="-4"/>
          <w:sz w:val="16"/>
        </w:rPr>
        <w:t>367.</w:t>
      </w:r>
    </w:p>
    <w:p>
      <w:pPr>
        <w:spacing w:line="228" w:lineRule="auto" w:before="18"/>
        <w:ind w:left="687" w:right="363" w:hanging="318"/>
        <w:jc w:val="left"/>
        <w:rPr>
          <w:sz w:val="16"/>
        </w:rPr>
      </w:pPr>
      <w:r>
        <w:rPr>
          <w:sz w:val="16"/>
        </w:rPr>
        <w:t>Eugenio,</w:t>
      </w:r>
      <w:r>
        <w:rPr>
          <w:spacing w:val="-10"/>
          <w:sz w:val="16"/>
        </w:rPr>
        <w:t> </w:t>
      </w:r>
      <w:r>
        <w:rPr>
          <w:sz w:val="16"/>
        </w:rPr>
        <w:t>A.</w:t>
      </w:r>
      <w:r>
        <w:rPr>
          <w:spacing w:val="-10"/>
          <w:sz w:val="16"/>
        </w:rPr>
        <w:t> </w:t>
      </w:r>
      <w:r>
        <w:rPr>
          <w:sz w:val="16"/>
        </w:rPr>
        <w:t>H.,</w:t>
      </w:r>
      <w:r>
        <w:rPr>
          <w:spacing w:val="-10"/>
          <w:sz w:val="16"/>
        </w:rPr>
        <w:t> </w:t>
      </w:r>
      <w:r>
        <w:rPr>
          <w:sz w:val="16"/>
        </w:rPr>
        <w:t>Lopez,</w:t>
      </w:r>
      <w:r>
        <w:rPr>
          <w:spacing w:val="-10"/>
          <w:sz w:val="16"/>
        </w:rPr>
        <w:t> </w:t>
      </w:r>
      <w:r>
        <w:rPr>
          <w:sz w:val="16"/>
        </w:rPr>
        <w:t>J.</w:t>
      </w:r>
      <w:r>
        <w:rPr>
          <w:spacing w:val="-9"/>
          <w:sz w:val="16"/>
        </w:rPr>
        <w:t> </w:t>
      </w:r>
      <w:r>
        <w:rPr>
          <w:sz w:val="16"/>
        </w:rPr>
        <w:t>A.,</w:t>
      </w:r>
      <w:r>
        <w:rPr>
          <w:spacing w:val="-10"/>
          <w:sz w:val="16"/>
        </w:rPr>
        <w:t> </w:t>
      </w:r>
      <w:r>
        <w:rPr>
          <w:sz w:val="16"/>
        </w:rPr>
        <w:t>&amp;</w:t>
      </w:r>
      <w:r>
        <w:rPr>
          <w:spacing w:val="-10"/>
          <w:sz w:val="16"/>
        </w:rPr>
        <w:t> </w:t>
      </w:r>
      <w:r>
        <w:rPr>
          <w:sz w:val="16"/>
        </w:rPr>
        <w:t>Ramirez,</w:t>
      </w:r>
      <w:r>
        <w:rPr>
          <w:spacing w:val="-10"/>
          <w:sz w:val="16"/>
        </w:rPr>
        <w:t> </w:t>
      </w:r>
      <w:r>
        <w:rPr>
          <w:sz w:val="16"/>
        </w:rPr>
        <w:t>D.</w:t>
      </w:r>
      <w:r>
        <w:rPr>
          <w:spacing w:val="-10"/>
          <w:sz w:val="16"/>
        </w:rPr>
        <w:t> </w:t>
      </w:r>
      <w:r>
        <w:rPr>
          <w:sz w:val="16"/>
        </w:rPr>
        <w:t>C.</w:t>
      </w:r>
      <w:r>
        <w:rPr>
          <w:spacing w:val="-7"/>
          <w:sz w:val="16"/>
        </w:rPr>
        <w:t> </w:t>
      </w:r>
      <w:r>
        <w:rPr>
          <w:sz w:val="16"/>
        </w:rPr>
        <w:t>(2019).</w:t>
      </w:r>
      <w:r>
        <w:rPr>
          <w:spacing w:val="-7"/>
          <w:sz w:val="16"/>
        </w:rPr>
        <w:t> </w:t>
      </w:r>
      <w:r>
        <w:rPr>
          <w:sz w:val="16"/>
        </w:rPr>
        <w:t>Does</w:t>
      </w:r>
      <w:r>
        <w:rPr>
          <w:spacing w:val="-12"/>
          <w:sz w:val="16"/>
        </w:rPr>
        <w:t> </w:t>
      </w:r>
      <w:r>
        <w:rPr>
          <w:sz w:val="16"/>
        </w:rPr>
        <w:t>value</w:t>
      </w:r>
      <w:r>
        <w:rPr>
          <w:spacing w:val="-7"/>
          <w:sz w:val="16"/>
        </w:rPr>
        <w:t> </w:t>
      </w:r>
      <w:r>
        <w:rPr>
          <w:sz w:val="16"/>
        </w:rPr>
        <w:t>relevance</w:t>
      </w:r>
      <w:r>
        <w:rPr>
          <w:spacing w:val="-10"/>
          <w:sz w:val="16"/>
        </w:rPr>
        <w:t> </w:t>
      </w:r>
      <w:r>
        <w:rPr>
          <w:sz w:val="16"/>
        </w:rPr>
        <w:t>of</w:t>
      </w:r>
      <w:r>
        <w:rPr>
          <w:spacing w:val="-10"/>
          <w:sz w:val="16"/>
        </w:rPr>
        <w:t> </w:t>
      </w:r>
      <w:r>
        <w:rPr>
          <w:sz w:val="16"/>
        </w:rPr>
        <w:t>accounting</w:t>
      </w:r>
      <w:r>
        <w:rPr>
          <w:spacing w:val="-9"/>
          <w:sz w:val="16"/>
        </w:rPr>
        <w:t> </w:t>
      </w:r>
      <w:r>
        <w:rPr>
          <w:sz w:val="16"/>
        </w:rPr>
        <w:t>information</w:t>
      </w:r>
      <w:r>
        <w:rPr>
          <w:spacing w:val="-9"/>
          <w:sz w:val="16"/>
        </w:rPr>
        <w:t> </w:t>
      </w:r>
      <w:r>
        <w:rPr>
          <w:sz w:val="16"/>
        </w:rPr>
        <w:t>differ</w:t>
      </w:r>
      <w:r>
        <w:rPr>
          <w:spacing w:val="-10"/>
          <w:sz w:val="16"/>
        </w:rPr>
        <w:t> </w:t>
      </w:r>
      <w:r>
        <w:rPr>
          <w:sz w:val="16"/>
        </w:rPr>
        <w:t>before,</w:t>
      </w:r>
      <w:r>
        <w:rPr>
          <w:spacing w:val="-10"/>
          <w:sz w:val="16"/>
        </w:rPr>
        <w:t> </w:t>
      </w:r>
      <w:r>
        <w:rPr>
          <w:sz w:val="16"/>
        </w:rPr>
        <w:t>during</w:t>
      </w:r>
      <w:r>
        <w:rPr>
          <w:spacing w:val="-9"/>
          <w:sz w:val="16"/>
        </w:rPr>
        <w:t> </w:t>
      </w:r>
      <w:r>
        <w:rPr>
          <w:sz w:val="16"/>
        </w:rPr>
        <w:t>and</w:t>
      </w:r>
      <w:r>
        <w:rPr>
          <w:spacing w:val="-9"/>
          <w:sz w:val="16"/>
        </w:rPr>
        <w:t> </w:t>
      </w:r>
      <w:r>
        <w:rPr>
          <w:sz w:val="16"/>
        </w:rPr>
        <w:t>after</w:t>
      </w:r>
      <w:r>
        <w:rPr>
          <w:spacing w:val="-10"/>
          <w:sz w:val="16"/>
        </w:rPr>
        <w:t> </w:t>
      </w:r>
      <w:r>
        <w:rPr>
          <w:sz w:val="16"/>
        </w:rPr>
        <w:t>the</w:t>
      </w:r>
      <w:r>
        <w:rPr>
          <w:spacing w:val="-11"/>
          <w:sz w:val="16"/>
        </w:rPr>
        <w:t> </w:t>
      </w:r>
      <w:r>
        <w:rPr>
          <w:sz w:val="16"/>
        </w:rPr>
        <w:t>2008</w:t>
      </w:r>
      <w:r>
        <w:rPr>
          <w:spacing w:val="-9"/>
          <w:sz w:val="16"/>
        </w:rPr>
        <w:t> </w:t>
      </w:r>
      <w:r>
        <w:rPr>
          <w:sz w:val="16"/>
        </w:rPr>
        <w:t>global</w:t>
      </w:r>
      <w:r>
        <w:rPr>
          <w:spacing w:val="-7"/>
          <w:sz w:val="16"/>
        </w:rPr>
        <w:t> </w:t>
      </w:r>
      <w:r>
        <w:rPr>
          <w:sz w:val="16"/>
        </w:rPr>
        <w:t>financial</w:t>
      </w:r>
      <w:r>
        <w:rPr>
          <w:spacing w:val="40"/>
          <w:sz w:val="16"/>
        </w:rPr>
        <w:t> </w:t>
      </w:r>
      <w:r>
        <w:rPr>
          <w:sz w:val="16"/>
        </w:rPr>
        <w:t>crisis? Evidence from Asian listed firms. Pacific Accounting Review, 31(2), 221-247.</w:t>
      </w:r>
    </w:p>
    <w:p>
      <w:pPr>
        <w:spacing w:line="228" w:lineRule="auto" w:before="20"/>
        <w:ind w:left="687" w:right="0" w:hanging="318"/>
        <w:jc w:val="left"/>
        <w:rPr>
          <w:sz w:val="16"/>
        </w:rPr>
      </w:pPr>
      <w:r>
        <w:rPr>
          <w:sz w:val="16"/>
        </w:rPr>
        <w:t>Fábio, A. S., Ana, P. M., &amp; Vera, L. S. (2023). Value relevance and predictive value of accruals and cash flow measures: Evid</w:t>
      </w:r>
      <w:r>
        <w:rPr>
          <w:spacing w:val="-26"/>
          <w:sz w:val="16"/>
        </w:rPr>
        <w:t> </w:t>
      </w:r>
      <w:r>
        <w:rPr>
          <w:sz w:val="16"/>
        </w:rPr>
        <w:t>ence from European listed</w:t>
      </w:r>
      <w:r>
        <w:rPr>
          <w:spacing w:val="40"/>
          <w:sz w:val="16"/>
        </w:rPr>
        <w:t> </w:t>
      </w:r>
      <w:r>
        <w:rPr>
          <w:sz w:val="16"/>
        </w:rPr>
        <w:t>companies. Journal of International Financial Management &amp; Accounting, 34(1), 45-67.</w:t>
      </w:r>
    </w:p>
    <w:p>
      <w:pPr>
        <w:spacing w:line="228" w:lineRule="auto" w:before="20"/>
        <w:ind w:left="687" w:right="0" w:hanging="318"/>
        <w:jc w:val="left"/>
        <w:rPr>
          <w:sz w:val="16"/>
        </w:rPr>
      </w:pPr>
      <w:r>
        <w:rPr>
          <w:sz w:val="16"/>
        </w:rPr>
        <w:t>Francis,</w:t>
      </w:r>
      <w:r>
        <w:rPr>
          <w:spacing w:val="-4"/>
          <w:sz w:val="16"/>
        </w:rPr>
        <w:t> </w:t>
      </w:r>
      <w:r>
        <w:rPr>
          <w:sz w:val="16"/>
        </w:rPr>
        <w:t>J.</w:t>
      </w:r>
      <w:r>
        <w:rPr>
          <w:spacing w:val="-4"/>
          <w:sz w:val="16"/>
        </w:rPr>
        <w:t> </w:t>
      </w:r>
      <w:r>
        <w:rPr>
          <w:sz w:val="16"/>
        </w:rPr>
        <w:t>R.,</w:t>
      </w:r>
      <w:r>
        <w:rPr>
          <w:spacing w:val="-1"/>
          <w:sz w:val="16"/>
        </w:rPr>
        <w:t> </w:t>
      </w:r>
      <w:r>
        <w:rPr>
          <w:sz w:val="16"/>
        </w:rPr>
        <w:t>Schipper,</w:t>
      </w:r>
      <w:r>
        <w:rPr>
          <w:spacing w:val="-4"/>
          <w:sz w:val="16"/>
        </w:rPr>
        <w:t> </w:t>
      </w:r>
      <w:r>
        <w:rPr>
          <w:sz w:val="16"/>
        </w:rPr>
        <w:t>K.</w:t>
      </w:r>
      <w:r>
        <w:rPr>
          <w:spacing w:val="-4"/>
          <w:sz w:val="16"/>
        </w:rPr>
        <w:t> </w:t>
      </w:r>
      <w:r>
        <w:rPr>
          <w:sz w:val="16"/>
        </w:rPr>
        <w:t>V.,</w:t>
      </w:r>
      <w:r>
        <w:rPr>
          <w:spacing w:val="-4"/>
          <w:sz w:val="16"/>
        </w:rPr>
        <w:t> </w:t>
      </w:r>
      <w:r>
        <w:rPr>
          <w:sz w:val="16"/>
        </w:rPr>
        <w:t>&amp;</w:t>
      </w:r>
      <w:r>
        <w:rPr>
          <w:spacing w:val="-2"/>
          <w:sz w:val="16"/>
        </w:rPr>
        <w:t> </w:t>
      </w:r>
      <w:r>
        <w:rPr>
          <w:sz w:val="16"/>
        </w:rPr>
        <w:t>Vincent,</w:t>
      </w:r>
      <w:r>
        <w:rPr>
          <w:spacing w:val="-4"/>
          <w:sz w:val="16"/>
        </w:rPr>
        <w:t> </w:t>
      </w:r>
      <w:r>
        <w:rPr>
          <w:sz w:val="16"/>
        </w:rPr>
        <w:t>J.</w:t>
      </w:r>
      <w:r>
        <w:rPr>
          <w:spacing w:val="-4"/>
          <w:sz w:val="16"/>
        </w:rPr>
        <w:t> </w:t>
      </w:r>
      <w:r>
        <w:rPr>
          <w:sz w:val="16"/>
        </w:rPr>
        <w:t>V.</w:t>
      </w:r>
      <w:r>
        <w:rPr>
          <w:spacing w:val="-1"/>
          <w:sz w:val="16"/>
        </w:rPr>
        <w:t> </w:t>
      </w:r>
      <w:r>
        <w:rPr>
          <w:sz w:val="16"/>
        </w:rPr>
        <w:t>(2004).</w:t>
      </w:r>
      <w:r>
        <w:rPr>
          <w:spacing w:val="-4"/>
          <w:sz w:val="16"/>
        </w:rPr>
        <w:t> </w:t>
      </w:r>
      <w:r>
        <w:rPr>
          <w:sz w:val="16"/>
        </w:rPr>
        <w:t>Common</w:t>
      </w:r>
      <w:r>
        <w:rPr>
          <w:spacing w:val="-3"/>
          <w:sz w:val="16"/>
        </w:rPr>
        <w:t> </w:t>
      </w:r>
      <w:r>
        <w:rPr>
          <w:sz w:val="16"/>
        </w:rPr>
        <w:t>performance</w:t>
      </w:r>
      <w:r>
        <w:rPr>
          <w:spacing w:val="-4"/>
          <w:sz w:val="16"/>
        </w:rPr>
        <w:t> </w:t>
      </w:r>
      <w:r>
        <w:rPr>
          <w:sz w:val="16"/>
        </w:rPr>
        <w:t>measures</w:t>
      </w:r>
      <w:r>
        <w:rPr>
          <w:spacing w:val="-4"/>
          <w:sz w:val="16"/>
        </w:rPr>
        <w:t> </w:t>
      </w:r>
      <w:r>
        <w:rPr>
          <w:sz w:val="16"/>
        </w:rPr>
        <w:t>and</w:t>
      </w:r>
      <w:r>
        <w:rPr>
          <w:spacing w:val="-3"/>
          <w:sz w:val="16"/>
        </w:rPr>
        <w:t> </w:t>
      </w:r>
      <w:r>
        <w:rPr>
          <w:sz w:val="16"/>
        </w:rPr>
        <w:t>contemporaneous</w:t>
      </w:r>
      <w:r>
        <w:rPr>
          <w:spacing w:val="-4"/>
          <w:sz w:val="16"/>
        </w:rPr>
        <w:t> </w:t>
      </w:r>
      <w:r>
        <w:rPr>
          <w:sz w:val="16"/>
        </w:rPr>
        <w:t>stock</w:t>
      </w:r>
      <w:r>
        <w:rPr>
          <w:spacing w:val="-1"/>
          <w:sz w:val="16"/>
        </w:rPr>
        <w:t> </w:t>
      </w:r>
      <w:r>
        <w:rPr>
          <w:sz w:val="16"/>
        </w:rPr>
        <w:t>returns.</w:t>
      </w:r>
      <w:r>
        <w:rPr>
          <w:spacing w:val="-4"/>
          <w:sz w:val="16"/>
        </w:rPr>
        <w:t> </w:t>
      </w:r>
      <w:r>
        <w:rPr>
          <w:sz w:val="16"/>
        </w:rPr>
        <w:t>The Journal</w:t>
      </w:r>
      <w:r>
        <w:rPr>
          <w:spacing w:val="-3"/>
          <w:sz w:val="16"/>
        </w:rPr>
        <w:t> </w:t>
      </w:r>
      <w:r>
        <w:rPr>
          <w:sz w:val="16"/>
        </w:rPr>
        <w:t>of</w:t>
      </w:r>
      <w:r>
        <w:rPr>
          <w:spacing w:val="-3"/>
          <w:sz w:val="16"/>
        </w:rPr>
        <w:t> </w:t>
      </w:r>
      <w:r>
        <w:rPr>
          <w:sz w:val="16"/>
        </w:rPr>
        <w:t>Accounting</w:t>
      </w:r>
      <w:r>
        <w:rPr>
          <w:spacing w:val="-3"/>
          <w:sz w:val="16"/>
        </w:rPr>
        <w:t> </w:t>
      </w:r>
      <w:r>
        <w:rPr>
          <w:sz w:val="16"/>
        </w:rPr>
        <w:t>and</w:t>
      </w:r>
      <w:r>
        <w:rPr>
          <w:spacing w:val="40"/>
          <w:sz w:val="16"/>
        </w:rPr>
        <w:t> </w:t>
      </w:r>
      <w:r>
        <w:rPr>
          <w:sz w:val="16"/>
        </w:rPr>
        <w:t>Economics, 37(3), 163190.</w:t>
      </w:r>
    </w:p>
    <w:p>
      <w:pPr>
        <w:spacing w:before="13"/>
        <w:ind w:left="369" w:right="0" w:firstLine="0"/>
        <w:jc w:val="left"/>
        <w:rPr>
          <w:sz w:val="16"/>
        </w:rPr>
      </w:pPr>
      <w:r>
        <w:rPr>
          <w:sz w:val="16"/>
        </w:rPr>
        <w:t>International</w:t>
      </w:r>
      <w:r>
        <w:rPr>
          <w:spacing w:val="-11"/>
          <w:sz w:val="16"/>
        </w:rPr>
        <w:t> </w:t>
      </w:r>
      <w:r>
        <w:rPr>
          <w:sz w:val="16"/>
        </w:rPr>
        <w:t>Accounting</w:t>
      </w:r>
      <w:r>
        <w:rPr>
          <w:spacing w:val="-7"/>
          <w:sz w:val="16"/>
        </w:rPr>
        <w:t> </w:t>
      </w:r>
      <w:r>
        <w:rPr>
          <w:sz w:val="16"/>
        </w:rPr>
        <w:t>Standards</w:t>
      </w:r>
      <w:r>
        <w:rPr>
          <w:spacing w:val="-9"/>
          <w:sz w:val="16"/>
        </w:rPr>
        <w:t> </w:t>
      </w:r>
      <w:r>
        <w:rPr>
          <w:sz w:val="16"/>
        </w:rPr>
        <w:t>Board</w:t>
      </w:r>
      <w:r>
        <w:rPr>
          <w:spacing w:val="-7"/>
          <w:sz w:val="16"/>
        </w:rPr>
        <w:t> </w:t>
      </w:r>
      <w:r>
        <w:rPr>
          <w:sz w:val="16"/>
        </w:rPr>
        <w:t>(IASB).</w:t>
      </w:r>
      <w:r>
        <w:rPr>
          <w:spacing w:val="-7"/>
          <w:sz w:val="16"/>
        </w:rPr>
        <w:t> </w:t>
      </w:r>
      <w:r>
        <w:rPr>
          <w:sz w:val="16"/>
        </w:rPr>
        <w:t>(2018).</w:t>
      </w:r>
      <w:r>
        <w:rPr>
          <w:spacing w:val="-7"/>
          <w:sz w:val="16"/>
        </w:rPr>
        <w:t> </w:t>
      </w:r>
      <w:r>
        <w:rPr>
          <w:sz w:val="16"/>
        </w:rPr>
        <w:t>IFRS</w:t>
      </w:r>
      <w:r>
        <w:rPr>
          <w:spacing w:val="-7"/>
          <w:sz w:val="16"/>
        </w:rPr>
        <w:t> </w:t>
      </w:r>
      <w:r>
        <w:rPr>
          <w:sz w:val="16"/>
        </w:rPr>
        <w:t>Standards.</w:t>
      </w:r>
      <w:r>
        <w:rPr>
          <w:spacing w:val="-9"/>
          <w:sz w:val="16"/>
        </w:rPr>
        <w:t> </w:t>
      </w:r>
      <w:r>
        <w:rPr>
          <w:sz w:val="16"/>
        </w:rPr>
        <w:t>Retrieved</w:t>
      </w:r>
      <w:r>
        <w:rPr>
          <w:spacing w:val="-7"/>
          <w:sz w:val="16"/>
        </w:rPr>
        <w:t> </w:t>
      </w:r>
      <w:r>
        <w:rPr>
          <w:sz w:val="16"/>
        </w:rPr>
        <w:t>from</w:t>
      </w:r>
      <w:r>
        <w:rPr>
          <w:spacing w:val="-9"/>
          <w:sz w:val="16"/>
        </w:rPr>
        <w:t> </w:t>
      </w:r>
      <w:hyperlink r:id="rId14">
        <w:r>
          <w:rPr>
            <w:spacing w:val="-2"/>
            <w:sz w:val="16"/>
          </w:rPr>
          <w:t>https://www.ifrs.org/</w:t>
        </w:r>
      </w:hyperlink>
    </w:p>
    <w:p>
      <w:pPr>
        <w:spacing w:before="10"/>
        <w:ind w:left="369" w:right="0" w:firstLine="0"/>
        <w:jc w:val="left"/>
        <w:rPr>
          <w:sz w:val="16"/>
        </w:rPr>
      </w:pPr>
      <w:r>
        <w:rPr>
          <w:sz w:val="16"/>
        </w:rPr>
        <w:t>Jensen,</w:t>
      </w:r>
      <w:r>
        <w:rPr>
          <w:spacing w:val="-9"/>
          <w:sz w:val="16"/>
        </w:rPr>
        <w:t> </w:t>
      </w:r>
      <w:r>
        <w:rPr>
          <w:sz w:val="16"/>
        </w:rPr>
        <w:t>M.</w:t>
      </w:r>
      <w:r>
        <w:rPr>
          <w:spacing w:val="-3"/>
          <w:sz w:val="16"/>
        </w:rPr>
        <w:t> </w:t>
      </w:r>
      <w:r>
        <w:rPr>
          <w:sz w:val="16"/>
        </w:rPr>
        <w:t>(2019).</w:t>
      </w:r>
      <w:r>
        <w:rPr>
          <w:spacing w:val="-3"/>
          <w:sz w:val="16"/>
        </w:rPr>
        <w:t> </w:t>
      </w:r>
      <w:r>
        <w:rPr>
          <w:sz w:val="16"/>
        </w:rPr>
        <w:t>The</w:t>
      </w:r>
      <w:r>
        <w:rPr>
          <w:spacing w:val="-4"/>
          <w:sz w:val="16"/>
        </w:rPr>
        <w:t> </w:t>
      </w:r>
      <w:r>
        <w:rPr>
          <w:sz w:val="16"/>
        </w:rPr>
        <w:t>Impact</w:t>
      </w:r>
      <w:r>
        <w:rPr>
          <w:spacing w:val="-5"/>
          <w:sz w:val="16"/>
        </w:rPr>
        <w:t> </w:t>
      </w:r>
      <w:r>
        <w:rPr>
          <w:sz w:val="16"/>
        </w:rPr>
        <w:t>of</w:t>
      </w:r>
      <w:r>
        <w:rPr>
          <w:spacing w:val="-5"/>
          <w:sz w:val="16"/>
        </w:rPr>
        <w:t> </w:t>
      </w:r>
      <w:r>
        <w:rPr>
          <w:sz w:val="16"/>
        </w:rPr>
        <w:t>Free</w:t>
      </w:r>
      <w:r>
        <w:rPr>
          <w:spacing w:val="-3"/>
          <w:sz w:val="16"/>
        </w:rPr>
        <w:t> </w:t>
      </w:r>
      <w:r>
        <w:rPr>
          <w:sz w:val="16"/>
        </w:rPr>
        <w:t>Cash</w:t>
      </w:r>
      <w:r>
        <w:rPr>
          <w:spacing w:val="-5"/>
          <w:sz w:val="16"/>
        </w:rPr>
        <w:t> </w:t>
      </w:r>
      <w:r>
        <w:rPr>
          <w:sz w:val="16"/>
        </w:rPr>
        <w:t>Flow</w:t>
      </w:r>
      <w:r>
        <w:rPr>
          <w:spacing w:val="-7"/>
          <w:sz w:val="16"/>
        </w:rPr>
        <w:t> </w:t>
      </w:r>
      <w:r>
        <w:rPr>
          <w:sz w:val="16"/>
        </w:rPr>
        <w:t>on</w:t>
      </w:r>
      <w:r>
        <w:rPr>
          <w:spacing w:val="-5"/>
          <w:sz w:val="16"/>
        </w:rPr>
        <w:t> </w:t>
      </w:r>
      <w:r>
        <w:rPr>
          <w:sz w:val="16"/>
        </w:rPr>
        <w:t>Firm</w:t>
      </w:r>
      <w:r>
        <w:rPr>
          <w:spacing w:val="-5"/>
          <w:sz w:val="16"/>
        </w:rPr>
        <w:t> </w:t>
      </w:r>
      <w:r>
        <w:rPr>
          <w:sz w:val="16"/>
        </w:rPr>
        <w:t>Valuation:</w:t>
      </w:r>
      <w:r>
        <w:rPr>
          <w:spacing w:val="-3"/>
          <w:sz w:val="16"/>
        </w:rPr>
        <w:t> </w:t>
      </w:r>
      <w:r>
        <w:rPr>
          <w:sz w:val="16"/>
        </w:rPr>
        <w:t>A</w:t>
      </w:r>
      <w:r>
        <w:rPr>
          <w:spacing w:val="-7"/>
          <w:sz w:val="16"/>
        </w:rPr>
        <w:t> </w:t>
      </w:r>
      <w:r>
        <w:rPr>
          <w:sz w:val="16"/>
        </w:rPr>
        <w:t>Meta-Analysis.</w:t>
      </w:r>
      <w:r>
        <w:rPr>
          <w:spacing w:val="-3"/>
          <w:sz w:val="16"/>
        </w:rPr>
        <w:t> </w:t>
      </w:r>
      <w:r>
        <w:rPr>
          <w:sz w:val="16"/>
        </w:rPr>
        <w:t>Journal</w:t>
      </w:r>
      <w:r>
        <w:rPr>
          <w:spacing w:val="-5"/>
          <w:sz w:val="16"/>
        </w:rPr>
        <w:t> </w:t>
      </w:r>
      <w:r>
        <w:rPr>
          <w:sz w:val="16"/>
        </w:rPr>
        <w:t>of</w:t>
      </w:r>
      <w:r>
        <w:rPr>
          <w:spacing w:val="-5"/>
          <w:sz w:val="16"/>
        </w:rPr>
        <w:t> </w:t>
      </w:r>
      <w:r>
        <w:rPr>
          <w:sz w:val="16"/>
        </w:rPr>
        <w:t>Finance</w:t>
      </w:r>
      <w:r>
        <w:rPr>
          <w:spacing w:val="-7"/>
          <w:sz w:val="16"/>
        </w:rPr>
        <w:t> </w:t>
      </w:r>
      <w:r>
        <w:rPr>
          <w:sz w:val="16"/>
        </w:rPr>
        <w:t>and</w:t>
      </w:r>
      <w:r>
        <w:rPr>
          <w:spacing w:val="-6"/>
          <w:sz w:val="16"/>
        </w:rPr>
        <w:t> </w:t>
      </w:r>
      <w:r>
        <w:rPr>
          <w:sz w:val="16"/>
        </w:rPr>
        <w:t>Accounting,</w:t>
      </w:r>
      <w:r>
        <w:rPr>
          <w:spacing w:val="-6"/>
          <w:sz w:val="16"/>
        </w:rPr>
        <w:t> </w:t>
      </w:r>
      <w:r>
        <w:rPr>
          <w:sz w:val="16"/>
        </w:rPr>
        <w:t>6(3),</w:t>
      </w:r>
      <w:r>
        <w:rPr>
          <w:spacing w:val="-6"/>
          <w:sz w:val="16"/>
        </w:rPr>
        <w:t> </w:t>
      </w:r>
      <w:r>
        <w:rPr>
          <w:sz w:val="16"/>
        </w:rPr>
        <w:t>45-</w:t>
      </w:r>
      <w:r>
        <w:rPr>
          <w:spacing w:val="-5"/>
          <w:sz w:val="16"/>
        </w:rPr>
        <w:t>58.</w:t>
      </w:r>
    </w:p>
    <w:p>
      <w:pPr>
        <w:spacing w:line="254" w:lineRule="auto" w:before="11"/>
        <w:ind w:left="369" w:right="399" w:firstLine="0"/>
        <w:jc w:val="left"/>
        <w:rPr>
          <w:sz w:val="16"/>
        </w:rPr>
      </w:pPr>
      <w:r>
        <w:rPr>
          <w:sz w:val="16"/>
        </w:rPr>
        <w:t>Khan, M. S., &amp; Lu, J. (2019). Operating Cash Flow and Firm Valuation: Evidence from Emerging Markets. Emerging Markets Review, 38, 174-190.</w:t>
      </w:r>
      <w:r>
        <w:rPr>
          <w:spacing w:val="40"/>
          <w:sz w:val="16"/>
        </w:rPr>
        <w:t> </w:t>
      </w:r>
      <w:r>
        <w:rPr>
          <w:sz w:val="16"/>
        </w:rPr>
        <w:t>Müller, J., &amp;</w:t>
      </w:r>
      <w:r>
        <w:rPr>
          <w:spacing w:val="-4"/>
          <w:sz w:val="16"/>
        </w:rPr>
        <w:t> </w:t>
      </w:r>
      <w:r>
        <w:rPr>
          <w:sz w:val="16"/>
        </w:rPr>
        <w:t>Zimmermann,</w:t>
      </w:r>
      <w:r>
        <w:rPr>
          <w:spacing w:val="-3"/>
          <w:sz w:val="16"/>
        </w:rPr>
        <w:t> </w:t>
      </w:r>
      <w:r>
        <w:rPr>
          <w:sz w:val="16"/>
        </w:rPr>
        <w:t>R.</w:t>
      </w:r>
      <w:r>
        <w:rPr>
          <w:spacing w:val="-3"/>
          <w:sz w:val="16"/>
        </w:rPr>
        <w:t> </w:t>
      </w:r>
      <w:r>
        <w:rPr>
          <w:sz w:val="16"/>
        </w:rPr>
        <w:t>(2020). Cash</w:t>
      </w:r>
      <w:r>
        <w:rPr>
          <w:spacing w:val="-2"/>
          <w:sz w:val="16"/>
        </w:rPr>
        <w:t> </w:t>
      </w:r>
      <w:r>
        <w:rPr>
          <w:sz w:val="16"/>
        </w:rPr>
        <w:t>flow</w:t>
      </w:r>
      <w:r>
        <w:rPr>
          <w:spacing w:val="-2"/>
          <w:sz w:val="16"/>
        </w:rPr>
        <w:t> </w:t>
      </w:r>
      <w:r>
        <w:rPr>
          <w:sz w:val="16"/>
        </w:rPr>
        <w:t>ratios</w:t>
      </w:r>
      <w:r>
        <w:rPr>
          <w:spacing w:val="-1"/>
          <w:sz w:val="16"/>
        </w:rPr>
        <w:t> </w:t>
      </w:r>
      <w:r>
        <w:rPr>
          <w:sz w:val="16"/>
        </w:rPr>
        <w:t>and</w:t>
      </w:r>
      <w:r>
        <w:rPr>
          <w:spacing w:val="-2"/>
          <w:sz w:val="16"/>
        </w:rPr>
        <w:t> </w:t>
      </w:r>
      <w:r>
        <w:rPr>
          <w:sz w:val="16"/>
        </w:rPr>
        <w:t>insolvency</w:t>
      </w:r>
      <w:r>
        <w:rPr>
          <w:spacing w:val="-2"/>
          <w:sz w:val="16"/>
        </w:rPr>
        <w:t> </w:t>
      </w:r>
      <w:r>
        <w:rPr>
          <w:sz w:val="16"/>
        </w:rPr>
        <w:t>prediction</w:t>
      </w:r>
      <w:r>
        <w:rPr>
          <w:spacing w:val="-2"/>
          <w:sz w:val="16"/>
        </w:rPr>
        <w:t> </w:t>
      </w:r>
      <w:r>
        <w:rPr>
          <w:sz w:val="16"/>
        </w:rPr>
        <w:t>in</w:t>
      </w:r>
      <w:r>
        <w:rPr>
          <w:spacing w:val="-2"/>
          <w:sz w:val="16"/>
        </w:rPr>
        <w:t> </w:t>
      </w:r>
      <w:r>
        <w:rPr>
          <w:sz w:val="16"/>
        </w:rPr>
        <w:t>Germany.</w:t>
      </w:r>
      <w:r>
        <w:rPr>
          <w:spacing w:val="-3"/>
          <w:sz w:val="16"/>
        </w:rPr>
        <w:t> </w:t>
      </w:r>
      <w:r>
        <w:rPr>
          <w:sz w:val="16"/>
        </w:rPr>
        <w:t>European Journal</w:t>
      </w:r>
      <w:r>
        <w:rPr>
          <w:spacing w:val="-2"/>
          <w:sz w:val="16"/>
        </w:rPr>
        <w:t> </w:t>
      </w:r>
      <w:r>
        <w:rPr>
          <w:sz w:val="16"/>
        </w:rPr>
        <w:t>of</w:t>
      </w:r>
      <w:r>
        <w:rPr>
          <w:spacing w:val="-4"/>
          <w:sz w:val="16"/>
        </w:rPr>
        <w:t> </w:t>
      </w:r>
      <w:r>
        <w:rPr>
          <w:sz w:val="16"/>
        </w:rPr>
        <w:t>Corporate Finance,</w:t>
      </w:r>
      <w:r>
        <w:rPr>
          <w:spacing w:val="-3"/>
          <w:sz w:val="16"/>
        </w:rPr>
        <w:t> </w:t>
      </w:r>
      <w:r>
        <w:rPr>
          <w:sz w:val="16"/>
        </w:rPr>
        <w:t>15(1),</w:t>
      </w:r>
      <w:r>
        <w:rPr>
          <w:spacing w:val="-3"/>
          <w:sz w:val="16"/>
        </w:rPr>
        <w:t> </w:t>
      </w:r>
      <w:r>
        <w:rPr>
          <w:sz w:val="16"/>
        </w:rPr>
        <w:t>88–104.</w:t>
      </w:r>
    </w:p>
    <w:p>
      <w:pPr>
        <w:spacing w:after="0" w:line="254" w:lineRule="auto"/>
        <w:jc w:val="left"/>
        <w:rPr>
          <w:sz w:val="16"/>
        </w:rPr>
        <w:sectPr>
          <w:pgSz w:w="11910" w:h="16840"/>
          <w:pgMar w:header="474" w:footer="301" w:top="700" w:bottom="500" w:left="566" w:right="566"/>
        </w:sectPr>
      </w:pPr>
    </w:p>
    <w:p>
      <w:pPr>
        <w:pStyle w:val="BodyText"/>
        <w:ind w:left="0" w:firstLine="0"/>
        <w:jc w:val="left"/>
        <w:rPr>
          <w:sz w:val="16"/>
        </w:rPr>
      </w:pPr>
    </w:p>
    <w:p>
      <w:pPr>
        <w:spacing w:line="180" w:lineRule="exact" w:before="0"/>
        <w:ind w:left="369" w:right="0" w:firstLine="0"/>
        <w:jc w:val="left"/>
        <w:rPr>
          <w:sz w:val="16"/>
        </w:rPr>
      </w:pPr>
      <w:r>
        <w:rPr>
          <w:sz w:val="16"/>
        </w:rPr>
        <w:t>Njore,</w:t>
      </w:r>
      <w:r>
        <w:rPr>
          <w:spacing w:val="-2"/>
          <w:sz w:val="16"/>
        </w:rPr>
        <w:t> </w:t>
      </w:r>
      <w:r>
        <w:rPr>
          <w:sz w:val="16"/>
        </w:rPr>
        <w:t>W.</w:t>
      </w:r>
      <w:r>
        <w:rPr>
          <w:spacing w:val="1"/>
          <w:sz w:val="16"/>
        </w:rPr>
        <w:t> </w:t>
      </w:r>
      <w:r>
        <w:rPr>
          <w:sz w:val="16"/>
        </w:rPr>
        <w:t>J.,</w:t>
      </w:r>
      <w:r>
        <w:rPr>
          <w:spacing w:val="-1"/>
          <w:sz w:val="16"/>
        </w:rPr>
        <w:t> </w:t>
      </w:r>
      <w:r>
        <w:rPr>
          <w:sz w:val="16"/>
        </w:rPr>
        <w:t>&amp; Ndede,</w:t>
      </w:r>
      <w:r>
        <w:rPr>
          <w:spacing w:val="1"/>
          <w:sz w:val="16"/>
        </w:rPr>
        <w:t> </w:t>
      </w:r>
      <w:r>
        <w:rPr>
          <w:sz w:val="16"/>
        </w:rPr>
        <w:t>F. W.</w:t>
      </w:r>
      <w:r>
        <w:rPr>
          <w:spacing w:val="1"/>
          <w:sz w:val="16"/>
        </w:rPr>
        <w:t> </w:t>
      </w:r>
      <w:r>
        <w:rPr>
          <w:sz w:val="16"/>
        </w:rPr>
        <w:t>S.</w:t>
      </w:r>
      <w:r>
        <w:rPr>
          <w:spacing w:val="-1"/>
          <w:sz w:val="16"/>
        </w:rPr>
        <w:t> </w:t>
      </w:r>
      <w:r>
        <w:rPr>
          <w:sz w:val="16"/>
        </w:rPr>
        <w:t>(2024).</w:t>
      </w:r>
      <w:r>
        <w:rPr>
          <w:spacing w:val="-1"/>
          <w:sz w:val="16"/>
        </w:rPr>
        <w:t> </w:t>
      </w:r>
      <w:r>
        <w:rPr>
          <w:sz w:val="16"/>
        </w:rPr>
        <w:t>Cash</w:t>
      </w:r>
      <w:r>
        <w:rPr>
          <w:spacing w:val="-1"/>
          <w:sz w:val="16"/>
        </w:rPr>
        <w:t> </w:t>
      </w:r>
      <w:r>
        <w:rPr>
          <w:sz w:val="16"/>
        </w:rPr>
        <w:t>management practices</w:t>
      </w:r>
      <w:r>
        <w:rPr>
          <w:spacing w:val="-2"/>
          <w:sz w:val="16"/>
        </w:rPr>
        <w:t> </w:t>
      </w:r>
      <w:r>
        <w:rPr>
          <w:sz w:val="16"/>
        </w:rPr>
        <w:t>and financial</w:t>
      </w:r>
      <w:r>
        <w:rPr>
          <w:spacing w:val="-1"/>
          <w:sz w:val="16"/>
        </w:rPr>
        <w:t> </w:t>
      </w:r>
      <w:r>
        <w:rPr>
          <w:sz w:val="16"/>
        </w:rPr>
        <w:t>performance</w:t>
      </w:r>
      <w:r>
        <w:rPr>
          <w:spacing w:val="-3"/>
          <w:sz w:val="16"/>
        </w:rPr>
        <w:t> </w:t>
      </w:r>
      <w:r>
        <w:rPr>
          <w:sz w:val="16"/>
        </w:rPr>
        <w:t>of</w:t>
      </w:r>
      <w:r>
        <w:rPr>
          <w:spacing w:val="-2"/>
          <w:sz w:val="16"/>
        </w:rPr>
        <w:t> </w:t>
      </w:r>
      <w:r>
        <w:rPr>
          <w:sz w:val="16"/>
        </w:rPr>
        <w:t>tea</w:t>
      </w:r>
      <w:r>
        <w:rPr>
          <w:spacing w:val="-3"/>
          <w:sz w:val="16"/>
        </w:rPr>
        <w:t> </w:t>
      </w:r>
      <w:r>
        <w:rPr>
          <w:sz w:val="16"/>
        </w:rPr>
        <w:t>processing</w:t>
      </w:r>
      <w:r>
        <w:rPr>
          <w:spacing w:val="-1"/>
          <w:sz w:val="16"/>
        </w:rPr>
        <w:t> </w:t>
      </w:r>
      <w:r>
        <w:rPr>
          <w:sz w:val="16"/>
        </w:rPr>
        <w:t>factories</w:t>
      </w:r>
      <w:r>
        <w:rPr>
          <w:spacing w:val="-2"/>
          <w:sz w:val="16"/>
        </w:rPr>
        <w:t> </w:t>
      </w:r>
      <w:r>
        <w:rPr>
          <w:sz w:val="16"/>
        </w:rPr>
        <w:t>in Mount</w:t>
      </w:r>
      <w:r>
        <w:rPr>
          <w:spacing w:val="-1"/>
          <w:sz w:val="16"/>
        </w:rPr>
        <w:t> </w:t>
      </w:r>
      <w:r>
        <w:rPr>
          <w:sz w:val="16"/>
        </w:rPr>
        <w:t>Kenya</w:t>
      </w:r>
      <w:r>
        <w:rPr>
          <w:spacing w:val="-3"/>
          <w:sz w:val="16"/>
        </w:rPr>
        <w:t> </w:t>
      </w:r>
      <w:r>
        <w:rPr>
          <w:sz w:val="16"/>
        </w:rPr>
        <w:t>Region,</w:t>
      </w:r>
      <w:r>
        <w:rPr>
          <w:spacing w:val="-1"/>
          <w:sz w:val="16"/>
        </w:rPr>
        <w:t> </w:t>
      </w:r>
      <w:r>
        <w:rPr>
          <w:spacing w:val="-2"/>
          <w:sz w:val="16"/>
        </w:rPr>
        <w:t>Kenya.</w:t>
      </w:r>
    </w:p>
    <w:p>
      <w:pPr>
        <w:spacing w:line="180" w:lineRule="exact" w:before="0"/>
        <w:ind w:left="687" w:right="0" w:firstLine="0"/>
        <w:jc w:val="left"/>
        <w:rPr>
          <w:sz w:val="16"/>
        </w:rPr>
      </w:pPr>
      <w:r>
        <w:rPr>
          <w:sz w:val="16"/>
        </w:rPr>
        <w:t>International</w:t>
      </w:r>
      <w:r>
        <w:rPr>
          <w:spacing w:val="-7"/>
          <w:sz w:val="16"/>
        </w:rPr>
        <w:t> </w:t>
      </w:r>
      <w:r>
        <w:rPr>
          <w:sz w:val="16"/>
        </w:rPr>
        <w:t>Academic</w:t>
      </w:r>
      <w:r>
        <w:rPr>
          <w:spacing w:val="-8"/>
          <w:sz w:val="16"/>
        </w:rPr>
        <w:t> </w:t>
      </w:r>
      <w:r>
        <w:rPr>
          <w:sz w:val="16"/>
        </w:rPr>
        <w:t>Journal</w:t>
      </w:r>
      <w:r>
        <w:rPr>
          <w:spacing w:val="-6"/>
          <w:sz w:val="16"/>
        </w:rPr>
        <w:t> </w:t>
      </w:r>
      <w:r>
        <w:rPr>
          <w:sz w:val="16"/>
        </w:rPr>
        <w:t>of</w:t>
      </w:r>
      <w:r>
        <w:rPr>
          <w:spacing w:val="-7"/>
          <w:sz w:val="16"/>
        </w:rPr>
        <w:t> </w:t>
      </w:r>
      <w:r>
        <w:rPr>
          <w:sz w:val="16"/>
        </w:rPr>
        <w:t>Economics</w:t>
      </w:r>
      <w:r>
        <w:rPr>
          <w:spacing w:val="-8"/>
          <w:sz w:val="16"/>
        </w:rPr>
        <w:t> </w:t>
      </w:r>
      <w:r>
        <w:rPr>
          <w:sz w:val="16"/>
        </w:rPr>
        <w:t>and</w:t>
      </w:r>
      <w:r>
        <w:rPr>
          <w:spacing w:val="-4"/>
          <w:sz w:val="16"/>
        </w:rPr>
        <w:t> </w:t>
      </w:r>
      <w:r>
        <w:rPr>
          <w:sz w:val="16"/>
        </w:rPr>
        <w:t>Finance,</w:t>
      </w:r>
      <w:r>
        <w:rPr>
          <w:spacing w:val="-8"/>
          <w:sz w:val="16"/>
        </w:rPr>
        <w:t> </w:t>
      </w:r>
      <w:r>
        <w:rPr>
          <w:sz w:val="16"/>
        </w:rPr>
        <w:t>4(3),</w:t>
      </w:r>
      <w:r>
        <w:rPr>
          <w:spacing w:val="-7"/>
          <w:sz w:val="16"/>
        </w:rPr>
        <w:t> </w:t>
      </w:r>
      <w:r>
        <w:rPr>
          <w:sz w:val="16"/>
        </w:rPr>
        <w:t>277-</w:t>
      </w:r>
      <w:r>
        <w:rPr>
          <w:spacing w:val="-4"/>
          <w:sz w:val="16"/>
        </w:rPr>
        <w:t>291.</w:t>
      </w:r>
    </w:p>
    <w:p>
      <w:pPr>
        <w:spacing w:before="10"/>
        <w:ind w:left="369" w:right="0" w:firstLine="0"/>
        <w:jc w:val="left"/>
        <w:rPr>
          <w:sz w:val="16"/>
        </w:rPr>
      </w:pPr>
      <w:r>
        <w:rPr>
          <w:sz w:val="16"/>
        </w:rPr>
        <w:t>Ohlson,</w:t>
      </w:r>
      <w:r>
        <w:rPr>
          <w:spacing w:val="-5"/>
          <w:sz w:val="16"/>
        </w:rPr>
        <w:t> </w:t>
      </w:r>
      <w:r>
        <w:rPr>
          <w:sz w:val="16"/>
        </w:rPr>
        <w:t>J.</w:t>
      </w:r>
      <w:r>
        <w:rPr>
          <w:spacing w:val="-8"/>
          <w:sz w:val="16"/>
        </w:rPr>
        <w:t> </w:t>
      </w:r>
      <w:r>
        <w:rPr>
          <w:sz w:val="16"/>
        </w:rPr>
        <w:t>(1995).</w:t>
      </w:r>
      <w:r>
        <w:rPr>
          <w:spacing w:val="-8"/>
          <w:sz w:val="16"/>
        </w:rPr>
        <w:t> </w:t>
      </w:r>
      <w:r>
        <w:rPr>
          <w:sz w:val="16"/>
        </w:rPr>
        <w:t>Earnings,</w:t>
      </w:r>
      <w:r>
        <w:rPr>
          <w:spacing w:val="-7"/>
          <w:sz w:val="16"/>
        </w:rPr>
        <w:t> </w:t>
      </w:r>
      <w:r>
        <w:rPr>
          <w:sz w:val="16"/>
        </w:rPr>
        <w:t>book</w:t>
      </w:r>
      <w:r>
        <w:rPr>
          <w:spacing w:val="-7"/>
          <w:sz w:val="16"/>
        </w:rPr>
        <w:t> </w:t>
      </w:r>
      <w:r>
        <w:rPr>
          <w:sz w:val="16"/>
        </w:rPr>
        <w:t>value,</w:t>
      </w:r>
      <w:r>
        <w:rPr>
          <w:spacing w:val="-7"/>
          <w:sz w:val="16"/>
        </w:rPr>
        <w:t> </w:t>
      </w:r>
      <w:r>
        <w:rPr>
          <w:sz w:val="16"/>
        </w:rPr>
        <w:t>and</w:t>
      </w:r>
      <w:r>
        <w:rPr>
          <w:spacing w:val="-7"/>
          <w:sz w:val="16"/>
        </w:rPr>
        <w:t> </w:t>
      </w:r>
      <w:r>
        <w:rPr>
          <w:sz w:val="16"/>
        </w:rPr>
        <w:t>dividends</w:t>
      </w:r>
      <w:r>
        <w:rPr>
          <w:spacing w:val="-6"/>
          <w:sz w:val="16"/>
        </w:rPr>
        <w:t> </w:t>
      </w:r>
      <w:r>
        <w:rPr>
          <w:sz w:val="16"/>
        </w:rPr>
        <w:t>in</w:t>
      </w:r>
      <w:r>
        <w:rPr>
          <w:spacing w:val="-5"/>
          <w:sz w:val="16"/>
        </w:rPr>
        <w:t> </w:t>
      </w:r>
      <w:r>
        <w:rPr>
          <w:sz w:val="16"/>
        </w:rPr>
        <w:t>security</w:t>
      </w:r>
      <w:r>
        <w:rPr>
          <w:spacing w:val="-7"/>
          <w:sz w:val="16"/>
        </w:rPr>
        <w:t> </w:t>
      </w:r>
      <w:r>
        <w:rPr>
          <w:sz w:val="16"/>
        </w:rPr>
        <w:t>valuation.</w:t>
      </w:r>
      <w:r>
        <w:rPr>
          <w:spacing w:val="-5"/>
          <w:sz w:val="16"/>
        </w:rPr>
        <w:t> </w:t>
      </w:r>
      <w:r>
        <w:rPr>
          <w:sz w:val="16"/>
        </w:rPr>
        <w:t>Accounting</w:t>
      </w:r>
      <w:r>
        <w:rPr>
          <w:spacing w:val="-6"/>
          <w:sz w:val="16"/>
        </w:rPr>
        <w:t> </w:t>
      </w:r>
      <w:r>
        <w:rPr>
          <w:sz w:val="16"/>
        </w:rPr>
        <w:t>Horizons,</w:t>
      </w:r>
      <w:r>
        <w:rPr>
          <w:spacing w:val="-8"/>
          <w:sz w:val="16"/>
        </w:rPr>
        <w:t> </w:t>
      </w:r>
      <w:r>
        <w:rPr>
          <w:sz w:val="16"/>
        </w:rPr>
        <w:t>9(4),</w:t>
      </w:r>
      <w:r>
        <w:rPr>
          <w:spacing w:val="-7"/>
          <w:sz w:val="16"/>
        </w:rPr>
        <w:t> </w:t>
      </w:r>
      <w:r>
        <w:rPr>
          <w:sz w:val="16"/>
        </w:rPr>
        <w:t>268-</w:t>
      </w:r>
      <w:r>
        <w:rPr>
          <w:spacing w:val="-4"/>
          <w:sz w:val="16"/>
        </w:rPr>
        <w:t>285.</w:t>
      </w:r>
    </w:p>
    <w:p>
      <w:pPr>
        <w:spacing w:line="228" w:lineRule="auto" w:before="19"/>
        <w:ind w:left="687" w:right="363" w:hanging="318"/>
        <w:jc w:val="left"/>
        <w:rPr>
          <w:sz w:val="16"/>
        </w:rPr>
      </w:pPr>
      <w:r>
        <w:rPr>
          <w:sz w:val="16"/>
        </w:rPr>
        <w:t>Okafor, O. O., Nworie, G. O &amp; Muojekwu, H. O. (2024). Assessing financial returns through environmental responsibility disclosure among listed oil and</w:t>
      </w:r>
      <w:r>
        <w:rPr>
          <w:spacing w:val="40"/>
          <w:sz w:val="16"/>
        </w:rPr>
        <w:t> </w:t>
      </w:r>
      <w:r>
        <w:rPr>
          <w:sz w:val="16"/>
        </w:rPr>
        <w:t>gas firms in Nigeria. International Journal of Research Publication and Reviews, 5(4), 545-557.</w:t>
      </w:r>
    </w:p>
    <w:p>
      <w:pPr>
        <w:spacing w:line="228" w:lineRule="auto" w:before="20"/>
        <w:ind w:left="687" w:right="0" w:hanging="318"/>
        <w:jc w:val="left"/>
        <w:rPr>
          <w:sz w:val="16"/>
        </w:rPr>
      </w:pPr>
      <w:r>
        <w:rPr>
          <w:sz w:val="16"/>
        </w:rPr>
        <w:t>Okeke, NM.</w:t>
      </w:r>
      <w:r>
        <w:rPr>
          <w:spacing w:val="40"/>
          <w:sz w:val="16"/>
        </w:rPr>
        <w:t> </w:t>
      </w:r>
      <w:r>
        <w:rPr>
          <w:sz w:val="16"/>
        </w:rPr>
        <w:t>&amp; Gilbert N.O. (2025).</w:t>
      </w:r>
      <w:r>
        <w:rPr>
          <w:spacing w:val="-3"/>
          <w:sz w:val="16"/>
        </w:rPr>
        <w:t> </w:t>
      </w:r>
      <w:r>
        <w:rPr>
          <w:sz w:val="16"/>
        </w:rPr>
        <w:t>A Free Cash Flow</w:t>
      </w:r>
      <w:r>
        <w:rPr>
          <w:spacing w:val="-2"/>
          <w:sz w:val="16"/>
        </w:rPr>
        <w:t> </w:t>
      </w:r>
      <w:r>
        <w:rPr>
          <w:sz w:val="16"/>
        </w:rPr>
        <w:t>Theory Perspective on the Nexus</w:t>
      </w:r>
      <w:r>
        <w:rPr>
          <w:spacing w:val="-1"/>
          <w:sz w:val="16"/>
        </w:rPr>
        <w:t> </w:t>
      </w:r>
      <w:r>
        <w:rPr>
          <w:sz w:val="16"/>
        </w:rPr>
        <w:t>Between Cash Management and Return</w:t>
      </w:r>
      <w:r>
        <w:rPr>
          <w:spacing w:val="-2"/>
          <w:sz w:val="16"/>
        </w:rPr>
        <w:t> </w:t>
      </w:r>
      <w:r>
        <w:rPr>
          <w:sz w:val="16"/>
        </w:rPr>
        <w:t>on Equity: Evidence from</w:t>
      </w:r>
      <w:r>
        <w:rPr>
          <w:spacing w:val="40"/>
          <w:sz w:val="16"/>
        </w:rPr>
        <w:t> </w:t>
      </w:r>
      <w:r>
        <w:rPr>
          <w:sz w:val="16"/>
        </w:rPr>
        <w:t>Nigerian Food and Beverage Firms.</w:t>
      </w:r>
      <w:r>
        <w:rPr>
          <w:spacing w:val="40"/>
          <w:sz w:val="16"/>
        </w:rPr>
        <w:t> </w:t>
      </w:r>
      <w:r>
        <w:rPr>
          <w:sz w:val="16"/>
        </w:rPr>
        <w:t>IIARD International Journal Of Economics And Business Management, 11(3), 14-27.</w:t>
      </w:r>
    </w:p>
    <w:p>
      <w:pPr>
        <w:spacing w:before="12"/>
        <w:ind w:left="369" w:right="0" w:firstLine="0"/>
        <w:jc w:val="left"/>
        <w:rPr>
          <w:sz w:val="16"/>
        </w:rPr>
      </w:pPr>
      <w:r>
        <w:rPr>
          <w:sz w:val="16"/>
        </w:rPr>
        <w:t>Olayemi,</w:t>
      </w:r>
      <w:r>
        <w:rPr>
          <w:spacing w:val="-7"/>
          <w:sz w:val="16"/>
        </w:rPr>
        <w:t> </w:t>
      </w:r>
      <w:r>
        <w:rPr>
          <w:sz w:val="16"/>
        </w:rPr>
        <w:t>A.</w:t>
      </w:r>
      <w:r>
        <w:rPr>
          <w:spacing w:val="-7"/>
          <w:sz w:val="16"/>
        </w:rPr>
        <w:t> </w:t>
      </w:r>
      <w:r>
        <w:rPr>
          <w:sz w:val="16"/>
        </w:rPr>
        <w:t>(2021).</w:t>
      </w:r>
      <w:r>
        <w:rPr>
          <w:spacing w:val="-7"/>
          <w:sz w:val="16"/>
        </w:rPr>
        <w:t> </w:t>
      </w:r>
      <w:r>
        <w:rPr>
          <w:sz w:val="16"/>
        </w:rPr>
        <w:t>Working</w:t>
      </w:r>
      <w:r>
        <w:rPr>
          <w:spacing w:val="-5"/>
          <w:sz w:val="16"/>
        </w:rPr>
        <w:t> </w:t>
      </w:r>
      <w:r>
        <w:rPr>
          <w:sz w:val="16"/>
        </w:rPr>
        <w:t>capital</w:t>
      </w:r>
      <w:r>
        <w:rPr>
          <w:spacing w:val="-8"/>
          <w:sz w:val="16"/>
        </w:rPr>
        <w:t> </w:t>
      </w:r>
      <w:r>
        <w:rPr>
          <w:sz w:val="16"/>
        </w:rPr>
        <w:t>management</w:t>
      </w:r>
      <w:r>
        <w:rPr>
          <w:spacing w:val="-6"/>
          <w:sz w:val="16"/>
        </w:rPr>
        <w:t> </w:t>
      </w:r>
      <w:r>
        <w:rPr>
          <w:sz w:val="16"/>
        </w:rPr>
        <w:t>and</w:t>
      </w:r>
      <w:r>
        <w:rPr>
          <w:spacing w:val="-7"/>
          <w:sz w:val="16"/>
        </w:rPr>
        <w:t> </w:t>
      </w:r>
      <w:r>
        <w:rPr>
          <w:sz w:val="16"/>
        </w:rPr>
        <w:t>profitability</w:t>
      </w:r>
      <w:r>
        <w:rPr>
          <w:spacing w:val="-6"/>
          <w:sz w:val="16"/>
        </w:rPr>
        <w:t> </w:t>
      </w:r>
      <w:r>
        <w:rPr>
          <w:sz w:val="16"/>
        </w:rPr>
        <w:t>of</w:t>
      </w:r>
      <w:r>
        <w:rPr>
          <w:spacing w:val="-6"/>
          <w:sz w:val="16"/>
        </w:rPr>
        <w:t> </w:t>
      </w:r>
      <w:r>
        <w:rPr>
          <w:sz w:val="16"/>
        </w:rPr>
        <w:t>Nigerian</w:t>
      </w:r>
      <w:r>
        <w:rPr>
          <w:spacing w:val="-7"/>
          <w:sz w:val="16"/>
        </w:rPr>
        <w:t> </w:t>
      </w:r>
      <w:r>
        <w:rPr>
          <w:sz w:val="16"/>
        </w:rPr>
        <w:t>firms.</w:t>
      </w:r>
      <w:r>
        <w:rPr>
          <w:spacing w:val="-7"/>
          <w:sz w:val="16"/>
        </w:rPr>
        <w:t> </w:t>
      </w:r>
      <w:r>
        <w:rPr>
          <w:sz w:val="16"/>
        </w:rPr>
        <w:t>Nigerian</w:t>
      </w:r>
      <w:r>
        <w:rPr>
          <w:spacing w:val="-6"/>
          <w:sz w:val="16"/>
        </w:rPr>
        <w:t> </w:t>
      </w:r>
      <w:r>
        <w:rPr>
          <w:sz w:val="16"/>
        </w:rPr>
        <w:t>Business</w:t>
      </w:r>
      <w:r>
        <w:rPr>
          <w:spacing w:val="-5"/>
          <w:sz w:val="16"/>
        </w:rPr>
        <w:t> </w:t>
      </w:r>
      <w:r>
        <w:rPr>
          <w:sz w:val="16"/>
        </w:rPr>
        <w:t>and</w:t>
      </w:r>
      <w:r>
        <w:rPr>
          <w:spacing w:val="-5"/>
          <w:sz w:val="16"/>
        </w:rPr>
        <w:t> </w:t>
      </w:r>
      <w:r>
        <w:rPr>
          <w:sz w:val="16"/>
        </w:rPr>
        <w:t>Economic</w:t>
      </w:r>
      <w:r>
        <w:rPr>
          <w:spacing w:val="-7"/>
          <w:sz w:val="16"/>
        </w:rPr>
        <w:t> </w:t>
      </w:r>
      <w:r>
        <w:rPr>
          <w:sz w:val="16"/>
        </w:rPr>
        <w:t>Journal,</w:t>
      </w:r>
      <w:r>
        <w:rPr>
          <w:spacing w:val="-7"/>
          <w:sz w:val="16"/>
        </w:rPr>
        <w:t> </w:t>
      </w:r>
      <w:r>
        <w:rPr>
          <w:sz w:val="16"/>
        </w:rPr>
        <w:t>13(1),</w:t>
      </w:r>
      <w:r>
        <w:rPr>
          <w:spacing w:val="-7"/>
          <w:sz w:val="16"/>
        </w:rPr>
        <w:t> </w:t>
      </w:r>
      <w:r>
        <w:rPr>
          <w:sz w:val="16"/>
        </w:rPr>
        <w:t>28–</w:t>
      </w:r>
      <w:r>
        <w:rPr>
          <w:spacing w:val="-5"/>
          <w:sz w:val="16"/>
        </w:rPr>
        <w:t>43.</w:t>
      </w:r>
    </w:p>
    <w:p>
      <w:pPr>
        <w:spacing w:line="228" w:lineRule="auto" w:before="18"/>
        <w:ind w:left="687" w:right="363" w:hanging="318"/>
        <w:jc w:val="left"/>
        <w:rPr>
          <w:sz w:val="16"/>
        </w:rPr>
      </w:pPr>
      <w:r>
        <w:rPr>
          <w:sz w:val="16"/>
        </w:rPr>
        <w:t>Oliveira, L. C., Silva, R. L., &amp; Guerreiro, L. M. (2020). The interactive effect of free cash flow and value relevance of earnings and book value with share</w:t>
      </w:r>
      <w:r>
        <w:rPr>
          <w:spacing w:val="40"/>
          <w:sz w:val="16"/>
        </w:rPr>
        <w:t> </w:t>
      </w:r>
      <w:r>
        <w:rPr>
          <w:sz w:val="16"/>
        </w:rPr>
        <w:t>price: Evidence from UK listed construction companies. Journal of Applied Accounting Research, 21(4), 387-412.</w:t>
      </w:r>
    </w:p>
    <w:p>
      <w:pPr>
        <w:spacing w:line="228" w:lineRule="auto" w:before="20"/>
        <w:ind w:left="687" w:right="0" w:hanging="318"/>
        <w:jc w:val="left"/>
        <w:rPr>
          <w:sz w:val="16"/>
        </w:rPr>
      </w:pPr>
      <w:r>
        <w:rPr>
          <w:sz w:val="16"/>
        </w:rPr>
        <w:t>Olorunfemi, O. A., Opusunju, M. I., &amp; Jiya, N. S. (2020). Effect of cash conversion cycle (CCC) period on the profitability of selected food and beverage</w:t>
      </w:r>
      <w:r>
        <w:rPr>
          <w:spacing w:val="40"/>
          <w:sz w:val="16"/>
        </w:rPr>
        <w:t> </w:t>
      </w:r>
      <w:r>
        <w:rPr>
          <w:sz w:val="16"/>
        </w:rPr>
        <w:t>companies in Nigeria. International Journal of Management Studies and Social Science Research, 2, 108-116.</w:t>
      </w:r>
    </w:p>
    <w:p>
      <w:pPr>
        <w:spacing w:before="13"/>
        <w:ind w:left="369" w:right="0" w:firstLine="0"/>
        <w:jc w:val="left"/>
        <w:rPr>
          <w:sz w:val="16"/>
        </w:rPr>
      </w:pPr>
      <w:r>
        <w:rPr>
          <w:sz w:val="16"/>
        </w:rPr>
        <w:t>Olowe,</w:t>
      </w:r>
      <w:r>
        <w:rPr>
          <w:spacing w:val="-6"/>
          <w:sz w:val="16"/>
        </w:rPr>
        <w:t> </w:t>
      </w:r>
      <w:r>
        <w:rPr>
          <w:sz w:val="16"/>
        </w:rPr>
        <w:t>R.</w:t>
      </w:r>
      <w:r>
        <w:rPr>
          <w:spacing w:val="-3"/>
          <w:sz w:val="16"/>
        </w:rPr>
        <w:t> </w:t>
      </w:r>
      <w:r>
        <w:rPr>
          <w:sz w:val="16"/>
        </w:rPr>
        <w:t>A.,</w:t>
      </w:r>
      <w:r>
        <w:rPr>
          <w:spacing w:val="-3"/>
          <w:sz w:val="16"/>
        </w:rPr>
        <w:t> </w:t>
      </w:r>
      <w:r>
        <w:rPr>
          <w:sz w:val="16"/>
        </w:rPr>
        <w:t>et</w:t>
      </w:r>
      <w:r>
        <w:rPr>
          <w:spacing w:val="-5"/>
          <w:sz w:val="16"/>
        </w:rPr>
        <w:t> </w:t>
      </w:r>
      <w:r>
        <w:rPr>
          <w:sz w:val="16"/>
        </w:rPr>
        <w:t>al.</w:t>
      </w:r>
      <w:r>
        <w:rPr>
          <w:spacing w:val="-6"/>
          <w:sz w:val="16"/>
        </w:rPr>
        <w:t> </w:t>
      </w:r>
      <w:r>
        <w:rPr>
          <w:sz w:val="16"/>
        </w:rPr>
        <w:t>(2018).</w:t>
      </w:r>
      <w:r>
        <w:rPr>
          <w:spacing w:val="-6"/>
          <w:sz w:val="16"/>
        </w:rPr>
        <w:t> </w:t>
      </w:r>
      <w:r>
        <w:rPr>
          <w:sz w:val="16"/>
        </w:rPr>
        <w:t>Determinants</w:t>
      </w:r>
      <w:r>
        <w:rPr>
          <w:spacing w:val="-6"/>
          <w:sz w:val="16"/>
        </w:rPr>
        <w:t> </w:t>
      </w:r>
      <w:r>
        <w:rPr>
          <w:sz w:val="16"/>
        </w:rPr>
        <w:t>of</w:t>
      </w:r>
      <w:r>
        <w:rPr>
          <w:spacing w:val="-5"/>
          <w:sz w:val="16"/>
        </w:rPr>
        <w:t> </w:t>
      </w:r>
      <w:r>
        <w:rPr>
          <w:sz w:val="16"/>
        </w:rPr>
        <w:t>Market</w:t>
      </w:r>
      <w:r>
        <w:rPr>
          <w:spacing w:val="-5"/>
          <w:sz w:val="16"/>
        </w:rPr>
        <w:t> </w:t>
      </w:r>
      <w:r>
        <w:rPr>
          <w:sz w:val="16"/>
        </w:rPr>
        <w:t>Value</w:t>
      </w:r>
      <w:r>
        <w:rPr>
          <w:spacing w:val="-6"/>
          <w:sz w:val="16"/>
        </w:rPr>
        <w:t> </w:t>
      </w:r>
      <w:r>
        <w:rPr>
          <w:sz w:val="16"/>
        </w:rPr>
        <w:t>of</w:t>
      </w:r>
      <w:r>
        <w:rPr>
          <w:spacing w:val="-5"/>
          <w:sz w:val="16"/>
        </w:rPr>
        <w:t> </w:t>
      </w:r>
      <w:r>
        <w:rPr>
          <w:sz w:val="16"/>
        </w:rPr>
        <w:t>Nigerian</w:t>
      </w:r>
      <w:r>
        <w:rPr>
          <w:spacing w:val="-5"/>
          <w:sz w:val="16"/>
        </w:rPr>
        <w:t> </w:t>
      </w:r>
      <w:r>
        <w:rPr>
          <w:sz w:val="16"/>
        </w:rPr>
        <w:t>Firms.</w:t>
      </w:r>
      <w:r>
        <w:rPr>
          <w:spacing w:val="-4"/>
          <w:sz w:val="16"/>
        </w:rPr>
        <w:t> </w:t>
      </w:r>
      <w:r>
        <w:rPr>
          <w:sz w:val="16"/>
        </w:rPr>
        <w:t>Journal</w:t>
      </w:r>
      <w:r>
        <w:rPr>
          <w:spacing w:val="-5"/>
          <w:sz w:val="16"/>
        </w:rPr>
        <w:t> </w:t>
      </w:r>
      <w:r>
        <w:rPr>
          <w:sz w:val="16"/>
        </w:rPr>
        <w:t>of</w:t>
      </w:r>
      <w:r>
        <w:rPr>
          <w:spacing w:val="-5"/>
          <w:sz w:val="16"/>
        </w:rPr>
        <w:t> </w:t>
      </w:r>
      <w:r>
        <w:rPr>
          <w:sz w:val="16"/>
        </w:rPr>
        <w:t>Economics</w:t>
      </w:r>
      <w:r>
        <w:rPr>
          <w:spacing w:val="-6"/>
          <w:sz w:val="16"/>
        </w:rPr>
        <w:t> </w:t>
      </w:r>
      <w:r>
        <w:rPr>
          <w:sz w:val="16"/>
        </w:rPr>
        <w:t>and</w:t>
      </w:r>
      <w:r>
        <w:rPr>
          <w:spacing w:val="-3"/>
          <w:sz w:val="16"/>
        </w:rPr>
        <w:t> </w:t>
      </w:r>
      <w:r>
        <w:rPr>
          <w:sz w:val="16"/>
        </w:rPr>
        <w:t>Business,</w:t>
      </w:r>
      <w:r>
        <w:rPr>
          <w:spacing w:val="-4"/>
          <w:sz w:val="16"/>
        </w:rPr>
        <w:t> </w:t>
      </w:r>
      <w:r>
        <w:rPr>
          <w:sz w:val="16"/>
        </w:rPr>
        <w:t>41(4),</w:t>
      </w:r>
      <w:r>
        <w:rPr>
          <w:spacing w:val="-5"/>
          <w:sz w:val="16"/>
        </w:rPr>
        <w:t> </w:t>
      </w:r>
      <w:r>
        <w:rPr>
          <w:sz w:val="16"/>
        </w:rPr>
        <w:t>312-</w:t>
      </w:r>
      <w:r>
        <w:rPr>
          <w:spacing w:val="-4"/>
          <w:sz w:val="16"/>
        </w:rPr>
        <w:t>328.</w:t>
      </w:r>
    </w:p>
    <w:p>
      <w:pPr>
        <w:spacing w:line="228" w:lineRule="auto" w:before="18"/>
        <w:ind w:left="687" w:right="363" w:hanging="318"/>
        <w:jc w:val="left"/>
        <w:rPr>
          <w:sz w:val="16"/>
        </w:rPr>
      </w:pPr>
      <w:r>
        <w:rPr>
          <w:sz w:val="16"/>
        </w:rPr>
        <w:t>Omokhudu,</w:t>
      </w:r>
      <w:r>
        <w:rPr>
          <w:spacing w:val="-1"/>
          <w:sz w:val="16"/>
        </w:rPr>
        <w:t> </w:t>
      </w:r>
      <w:r>
        <w:rPr>
          <w:sz w:val="16"/>
        </w:rPr>
        <w:t>J.</w:t>
      </w:r>
      <w:r>
        <w:rPr>
          <w:spacing w:val="-1"/>
          <w:sz w:val="16"/>
        </w:rPr>
        <w:t> </w:t>
      </w:r>
      <w:r>
        <w:rPr>
          <w:sz w:val="16"/>
        </w:rPr>
        <w:t>E.</w:t>
      </w:r>
      <w:r>
        <w:rPr>
          <w:spacing w:val="-1"/>
          <w:sz w:val="16"/>
        </w:rPr>
        <w:t> </w:t>
      </w:r>
      <w:r>
        <w:rPr>
          <w:sz w:val="16"/>
        </w:rPr>
        <w:t>(2012).</w:t>
      </w:r>
      <w:r>
        <w:rPr>
          <w:spacing w:val="-1"/>
          <w:sz w:val="16"/>
        </w:rPr>
        <w:t> </w:t>
      </w:r>
      <w:r>
        <w:rPr>
          <w:sz w:val="16"/>
        </w:rPr>
        <w:t>Value relevance</w:t>
      </w:r>
      <w:r>
        <w:rPr>
          <w:spacing w:val="-4"/>
          <w:sz w:val="16"/>
        </w:rPr>
        <w:t> </w:t>
      </w:r>
      <w:r>
        <w:rPr>
          <w:sz w:val="16"/>
        </w:rPr>
        <w:t>of accounting</w:t>
      </w:r>
      <w:r>
        <w:rPr>
          <w:spacing w:val="-1"/>
          <w:sz w:val="16"/>
        </w:rPr>
        <w:t> </w:t>
      </w:r>
      <w:r>
        <w:rPr>
          <w:sz w:val="16"/>
        </w:rPr>
        <w:t>information for firms quoted</w:t>
      </w:r>
      <w:r>
        <w:rPr>
          <w:spacing w:val="-1"/>
          <w:sz w:val="16"/>
        </w:rPr>
        <w:t> </w:t>
      </w:r>
      <w:r>
        <w:rPr>
          <w:sz w:val="16"/>
        </w:rPr>
        <w:t>on</w:t>
      </w:r>
      <w:r>
        <w:rPr>
          <w:spacing w:val="-1"/>
          <w:sz w:val="16"/>
        </w:rPr>
        <w:t> </w:t>
      </w:r>
      <w:r>
        <w:rPr>
          <w:sz w:val="16"/>
        </w:rPr>
        <w:t>the Nigerian</w:t>
      </w:r>
      <w:r>
        <w:rPr>
          <w:spacing w:val="-1"/>
          <w:sz w:val="16"/>
        </w:rPr>
        <w:t> </w:t>
      </w:r>
      <w:r>
        <w:rPr>
          <w:sz w:val="16"/>
        </w:rPr>
        <w:t>Stock Exchange.</w:t>
      </w:r>
      <w:r>
        <w:rPr>
          <w:spacing w:val="-1"/>
          <w:sz w:val="16"/>
        </w:rPr>
        <w:t> </w:t>
      </w:r>
      <w:r>
        <w:rPr>
          <w:sz w:val="16"/>
        </w:rPr>
        <w:t>Journal</w:t>
      </w:r>
      <w:r>
        <w:rPr>
          <w:spacing w:val="-1"/>
          <w:sz w:val="16"/>
        </w:rPr>
        <w:t> </w:t>
      </w:r>
      <w:r>
        <w:rPr>
          <w:sz w:val="16"/>
        </w:rPr>
        <w:t>of Accounting and</w:t>
      </w:r>
      <w:r>
        <w:rPr>
          <w:spacing w:val="-1"/>
          <w:sz w:val="16"/>
        </w:rPr>
        <w:t> </w:t>
      </w:r>
      <w:r>
        <w:rPr>
          <w:sz w:val="16"/>
        </w:rPr>
        <w:t>Taxation,</w:t>
      </w:r>
      <w:r>
        <w:rPr>
          <w:spacing w:val="40"/>
          <w:sz w:val="16"/>
        </w:rPr>
        <w:t> </w:t>
      </w:r>
      <w:r>
        <w:rPr>
          <w:sz w:val="16"/>
        </w:rPr>
        <w:t>4(1),</w:t>
      </w:r>
      <w:r>
        <w:rPr>
          <w:spacing w:val="-5"/>
          <w:sz w:val="16"/>
        </w:rPr>
        <w:t> </w:t>
      </w:r>
      <w:r>
        <w:rPr>
          <w:sz w:val="16"/>
        </w:rPr>
        <w:t>1-12.</w:t>
      </w:r>
    </w:p>
    <w:p>
      <w:pPr>
        <w:spacing w:line="228" w:lineRule="auto" w:before="20"/>
        <w:ind w:left="687" w:right="363" w:hanging="318"/>
        <w:jc w:val="left"/>
        <w:rPr>
          <w:sz w:val="16"/>
        </w:rPr>
      </w:pPr>
      <w:r>
        <w:rPr>
          <w:sz w:val="16"/>
        </w:rPr>
        <w:t>Puspa,</w:t>
      </w:r>
      <w:r>
        <w:rPr>
          <w:spacing w:val="-8"/>
          <w:sz w:val="16"/>
        </w:rPr>
        <w:t> </w:t>
      </w:r>
      <w:r>
        <w:rPr>
          <w:sz w:val="16"/>
        </w:rPr>
        <w:t>I.</w:t>
      </w:r>
      <w:r>
        <w:rPr>
          <w:spacing w:val="-5"/>
          <w:sz w:val="16"/>
        </w:rPr>
        <w:t> </w:t>
      </w:r>
      <w:r>
        <w:rPr>
          <w:sz w:val="16"/>
        </w:rPr>
        <w:t>W.,</w:t>
      </w:r>
      <w:r>
        <w:rPr>
          <w:spacing w:val="-7"/>
          <w:sz w:val="16"/>
        </w:rPr>
        <w:t> </w:t>
      </w:r>
      <w:r>
        <w:rPr>
          <w:sz w:val="16"/>
        </w:rPr>
        <w:t>Yulianto,</w:t>
      </w:r>
      <w:r>
        <w:rPr>
          <w:spacing w:val="-5"/>
          <w:sz w:val="16"/>
        </w:rPr>
        <w:t> </w:t>
      </w:r>
      <w:r>
        <w:rPr>
          <w:sz w:val="16"/>
        </w:rPr>
        <w:t>A.,</w:t>
      </w:r>
      <w:r>
        <w:rPr>
          <w:spacing w:val="-7"/>
          <w:sz w:val="16"/>
        </w:rPr>
        <w:t> </w:t>
      </w:r>
      <w:r>
        <w:rPr>
          <w:sz w:val="16"/>
        </w:rPr>
        <w:t>&amp;</w:t>
      </w:r>
      <w:r>
        <w:rPr>
          <w:spacing w:val="-8"/>
          <w:sz w:val="16"/>
        </w:rPr>
        <w:t> </w:t>
      </w:r>
      <w:r>
        <w:rPr>
          <w:sz w:val="16"/>
        </w:rPr>
        <w:t>Maesaroh,</w:t>
      </w:r>
      <w:r>
        <w:rPr>
          <w:spacing w:val="-7"/>
          <w:sz w:val="16"/>
        </w:rPr>
        <w:t> </w:t>
      </w:r>
      <w:r>
        <w:rPr>
          <w:sz w:val="16"/>
        </w:rPr>
        <w:t>L.</w:t>
      </w:r>
      <w:r>
        <w:rPr>
          <w:spacing w:val="-7"/>
          <w:sz w:val="16"/>
        </w:rPr>
        <w:t> </w:t>
      </w:r>
      <w:r>
        <w:rPr>
          <w:sz w:val="16"/>
        </w:rPr>
        <w:t>I.</w:t>
      </w:r>
      <w:r>
        <w:rPr>
          <w:spacing w:val="-5"/>
          <w:sz w:val="16"/>
        </w:rPr>
        <w:t> </w:t>
      </w:r>
      <w:r>
        <w:rPr>
          <w:sz w:val="16"/>
        </w:rPr>
        <w:t>(2023).</w:t>
      </w:r>
      <w:r>
        <w:rPr>
          <w:spacing w:val="-7"/>
          <w:sz w:val="16"/>
        </w:rPr>
        <w:t> </w:t>
      </w:r>
      <w:r>
        <w:rPr>
          <w:sz w:val="16"/>
        </w:rPr>
        <w:t>The</w:t>
      </w:r>
      <w:r>
        <w:rPr>
          <w:spacing w:val="-10"/>
          <w:sz w:val="16"/>
        </w:rPr>
        <w:t> </w:t>
      </w:r>
      <w:r>
        <w:rPr>
          <w:sz w:val="16"/>
        </w:rPr>
        <w:t>value</w:t>
      </w:r>
      <w:r>
        <w:rPr>
          <w:spacing w:val="-7"/>
          <w:sz w:val="16"/>
        </w:rPr>
        <w:t> </w:t>
      </w:r>
      <w:r>
        <w:rPr>
          <w:sz w:val="16"/>
        </w:rPr>
        <w:t>relevance</w:t>
      </w:r>
      <w:r>
        <w:rPr>
          <w:spacing w:val="-7"/>
          <w:sz w:val="16"/>
        </w:rPr>
        <w:t> </w:t>
      </w:r>
      <w:r>
        <w:rPr>
          <w:sz w:val="16"/>
        </w:rPr>
        <w:t>of</w:t>
      </w:r>
      <w:r>
        <w:rPr>
          <w:spacing w:val="-10"/>
          <w:sz w:val="16"/>
        </w:rPr>
        <w:t> </w:t>
      </w:r>
      <w:r>
        <w:rPr>
          <w:sz w:val="16"/>
        </w:rPr>
        <w:t>accounting</w:t>
      </w:r>
      <w:r>
        <w:rPr>
          <w:spacing w:val="-9"/>
          <w:sz w:val="16"/>
        </w:rPr>
        <w:t> </w:t>
      </w:r>
      <w:r>
        <w:rPr>
          <w:sz w:val="16"/>
        </w:rPr>
        <w:t>information</w:t>
      </w:r>
      <w:r>
        <w:rPr>
          <w:spacing w:val="-7"/>
          <w:sz w:val="16"/>
        </w:rPr>
        <w:t> </w:t>
      </w:r>
      <w:r>
        <w:rPr>
          <w:sz w:val="16"/>
        </w:rPr>
        <w:t>after</w:t>
      </w:r>
      <w:r>
        <w:rPr>
          <w:spacing w:val="-9"/>
          <w:sz w:val="16"/>
        </w:rPr>
        <w:t> </w:t>
      </w:r>
      <w:r>
        <w:rPr>
          <w:sz w:val="16"/>
        </w:rPr>
        <w:t>the</w:t>
      </w:r>
      <w:r>
        <w:rPr>
          <w:spacing w:val="-7"/>
          <w:sz w:val="16"/>
        </w:rPr>
        <w:t> </w:t>
      </w:r>
      <w:r>
        <w:rPr>
          <w:sz w:val="16"/>
        </w:rPr>
        <w:t>full</w:t>
      </w:r>
      <w:r>
        <w:rPr>
          <w:spacing w:val="-7"/>
          <w:sz w:val="16"/>
        </w:rPr>
        <w:t> </w:t>
      </w:r>
      <w:r>
        <w:rPr>
          <w:sz w:val="16"/>
        </w:rPr>
        <w:t>convergence</w:t>
      </w:r>
      <w:r>
        <w:rPr>
          <w:spacing w:val="-7"/>
          <w:sz w:val="16"/>
        </w:rPr>
        <w:t> </w:t>
      </w:r>
      <w:r>
        <w:rPr>
          <w:sz w:val="16"/>
        </w:rPr>
        <w:t>of</w:t>
      </w:r>
      <w:r>
        <w:rPr>
          <w:spacing w:val="-6"/>
          <w:sz w:val="16"/>
        </w:rPr>
        <w:t> </w:t>
      </w:r>
      <w:r>
        <w:rPr>
          <w:sz w:val="16"/>
        </w:rPr>
        <w:t>IFRS</w:t>
      </w:r>
      <w:r>
        <w:rPr>
          <w:spacing w:val="-9"/>
          <w:sz w:val="16"/>
        </w:rPr>
        <w:t> </w:t>
      </w:r>
      <w:r>
        <w:rPr>
          <w:sz w:val="16"/>
        </w:rPr>
        <w:t>in</w:t>
      </w:r>
      <w:r>
        <w:rPr>
          <w:spacing w:val="-7"/>
          <w:sz w:val="16"/>
        </w:rPr>
        <w:t> </w:t>
      </w:r>
      <w:r>
        <w:rPr>
          <w:sz w:val="16"/>
        </w:rPr>
        <w:t>Indonesia:</w:t>
      </w:r>
      <w:r>
        <w:rPr>
          <w:spacing w:val="-7"/>
          <w:sz w:val="16"/>
        </w:rPr>
        <w:t> </w:t>
      </w:r>
      <w:r>
        <w:rPr>
          <w:sz w:val="16"/>
        </w:rPr>
        <w:t>Evidence</w:t>
      </w:r>
      <w:r>
        <w:rPr>
          <w:spacing w:val="40"/>
          <w:sz w:val="16"/>
        </w:rPr>
        <w:t> </w:t>
      </w:r>
      <w:r>
        <w:rPr>
          <w:sz w:val="16"/>
        </w:rPr>
        <w:t>from manufacturing companies. Accounting Research Journal, 36(1), 1-22.</w:t>
      </w:r>
    </w:p>
    <w:p>
      <w:pPr>
        <w:spacing w:line="228" w:lineRule="auto" w:before="20"/>
        <w:ind w:left="687" w:right="363" w:hanging="318"/>
        <w:jc w:val="left"/>
        <w:rPr>
          <w:sz w:val="16"/>
        </w:rPr>
      </w:pPr>
      <w:r>
        <w:rPr>
          <w:sz w:val="16"/>
        </w:rPr>
        <w:t>Robu, M., &amp; Dănilă, L. C. (2018). The influence of financial information on the behavior of investors and the role of cryptocurrency Bitcoin in covering</w:t>
      </w:r>
      <w:r>
        <w:rPr>
          <w:spacing w:val="40"/>
          <w:sz w:val="16"/>
        </w:rPr>
        <w:t> </w:t>
      </w:r>
      <w:r>
        <w:rPr>
          <w:sz w:val="16"/>
        </w:rPr>
        <w:t>portfolio losses. Annals of the Faculty of Economics of the University of Craiova, 21(2), 127-138.</w:t>
      </w:r>
    </w:p>
    <w:p>
      <w:pPr>
        <w:spacing w:line="230" w:lineRule="auto" w:before="18"/>
        <w:ind w:left="687" w:right="363" w:hanging="318"/>
        <w:jc w:val="left"/>
        <w:rPr>
          <w:sz w:val="16"/>
        </w:rPr>
      </w:pPr>
      <w:r>
        <w:rPr>
          <w:sz w:val="16"/>
        </w:rPr>
        <w:t>Sulaiman, N., &amp; Athambawa, T. (2013). Value relevance of accounting information in Sri Lanka. International Journal of Management Studies and Social</w:t>
      </w:r>
      <w:r>
        <w:rPr>
          <w:spacing w:val="40"/>
          <w:sz w:val="16"/>
        </w:rPr>
        <w:t> </w:t>
      </w:r>
      <w:r>
        <w:rPr>
          <w:sz w:val="16"/>
        </w:rPr>
        <w:t>Science Research, 5(2), 63-72. DOI: </w:t>
      </w:r>
      <w:hyperlink r:id="rId15">
        <w:r>
          <w:rPr>
            <w:sz w:val="16"/>
          </w:rPr>
          <w:t>https://doi.org/10.56293/IJMSSSR.2022.4575</w:t>
        </w:r>
      </w:hyperlink>
    </w:p>
    <w:p>
      <w:pPr>
        <w:spacing w:line="228" w:lineRule="auto" w:before="19"/>
        <w:ind w:left="687" w:right="0" w:hanging="318"/>
        <w:jc w:val="left"/>
        <w:rPr>
          <w:sz w:val="16"/>
        </w:rPr>
      </w:pPr>
      <w:r>
        <w:rPr>
          <w:sz w:val="16"/>
        </w:rPr>
        <w:t>Thomya,</w:t>
      </w:r>
      <w:r>
        <w:rPr>
          <w:spacing w:val="-1"/>
          <w:sz w:val="16"/>
        </w:rPr>
        <w:t> </w:t>
      </w:r>
      <w:r>
        <w:rPr>
          <w:sz w:val="16"/>
        </w:rPr>
        <w:t>W.,</w:t>
      </w:r>
      <w:r>
        <w:rPr>
          <w:spacing w:val="-1"/>
          <w:sz w:val="16"/>
        </w:rPr>
        <w:t> </w:t>
      </w:r>
      <w:r>
        <w:rPr>
          <w:sz w:val="16"/>
        </w:rPr>
        <w:t>Likitwongkajon,</w:t>
      </w:r>
      <w:r>
        <w:rPr>
          <w:spacing w:val="-4"/>
          <w:sz w:val="16"/>
        </w:rPr>
        <w:t> </w:t>
      </w:r>
      <w:r>
        <w:rPr>
          <w:sz w:val="16"/>
        </w:rPr>
        <w:t>N.</w:t>
      </w:r>
      <w:r>
        <w:rPr>
          <w:spacing w:val="-1"/>
          <w:sz w:val="16"/>
        </w:rPr>
        <w:t> </w:t>
      </w:r>
      <w:r>
        <w:rPr>
          <w:sz w:val="16"/>
        </w:rPr>
        <w:t>&amp;</w:t>
      </w:r>
      <w:r>
        <w:rPr>
          <w:spacing w:val="-4"/>
          <w:sz w:val="16"/>
        </w:rPr>
        <w:t> </w:t>
      </w:r>
      <w:r>
        <w:rPr>
          <w:sz w:val="16"/>
        </w:rPr>
        <w:t>Rangsungnoen,</w:t>
      </w:r>
      <w:r>
        <w:rPr>
          <w:spacing w:val="-1"/>
          <w:sz w:val="16"/>
        </w:rPr>
        <w:t> </w:t>
      </w:r>
      <w:r>
        <w:rPr>
          <w:sz w:val="16"/>
        </w:rPr>
        <w:t>G.</w:t>
      </w:r>
      <w:r>
        <w:rPr>
          <w:spacing w:val="-1"/>
          <w:sz w:val="16"/>
        </w:rPr>
        <w:t> </w:t>
      </w:r>
      <w:r>
        <w:rPr>
          <w:sz w:val="16"/>
        </w:rPr>
        <w:t>(2023).</w:t>
      </w:r>
      <w:r>
        <w:rPr>
          <w:spacing w:val="-4"/>
          <w:sz w:val="16"/>
        </w:rPr>
        <w:t> </w:t>
      </w:r>
      <w:r>
        <w:rPr>
          <w:sz w:val="16"/>
        </w:rPr>
        <w:t>Capital</w:t>
      </w:r>
      <w:r>
        <w:rPr>
          <w:spacing w:val="-1"/>
          <w:sz w:val="16"/>
        </w:rPr>
        <w:t> </w:t>
      </w:r>
      <w:r>
        <w:rPr>
          <w:sz w:val="16"/>
        </w:rPr>
        <w:t>Expenditure</w:t>
      </w:r>
      <w:r>
        <w:rPr>
          <w:spacing w:val="-1"/>
          <w:sz w:val="16"/>
        </w:rPr>
        <w:t> </w:t>
      </w:r>
      <w:r>
        <w:rPr>
          <w:sz w:val="16"/>
        </w:rPr>
        <w:t>and</w:t>
      </w:r>
      <w:r>
        <w:rPr>
          <w:spacing w:val="-1"/>
          <w:sz w:val="16"/>
        </w:rPr>
        <w:t> </w:t>
      </w:r>
      <w:r>
        <w:rPr>
          <w:sz w:val="16"/>
        </w:rPr>
        <w:t>Future</w:t>
      </w:r>
      <w:r>
        <w:rPr>
          <w:spacing w:val="-1"/>
          <w:sz w:val="16"/>
        </w:rPr>
        <w:t> </w:t>
      </w:r>
      <w:r>
        <w:rPr>
          <w:sz w:val="16"/>
        </w:rPr>
        <w:t>Firm</w:t>
      </w:r>
      <w:r>
        <w:rPr>
          <w:spacing w:val="-2"/>
          <w:sz w:val="16"/>
        </w:rPr>
        <w:t> </w:t>
      </w:r>
      <w:r>
        <w:rPr>
          <w:sz w:val="16"/>
        </w:rPr>
        <w:t>Performance:</w:t>
      </w:r>
      <w:r>
        <w:rPr>
          <w:spacing w:val="-1"/>
          <w:sz w:val="16"/>
        </w:rPr>
        <w:t> </w:t>
      </w:r>
      <w:r>
        <w:rPr>
          <w:sz w:val="16"/>
        </w:rPr>
        <w:t>Evidence</w:t>
      </w:r>
      <w:r>
        <w:rPr>
          <w:spacing w:val="-1"/>
          <w:sz w:val="16"/>
        </w:rPr>
        <w:t> </w:t>
      </w:r>
      <w:r>
        <w:rPr>
          <w:sz w:val="16"/>
        </w:rPr>
        <w:t>from</w:t>
      </w:r>
      <w:r>
        <w:rPr>
          <w:spacing w:val="-2"/>
          <w:sz w:val="16"/>
        </w:rPr>
        <w:t> </w:t>
      </w:r>
      <w:r>
        <w:rPr>
          <w:sz w:val="16"/>
        </w:rPr>
        <w:t>Firms</w:t>
      </w:r>
      <w:r>
        <w:rPr>
          <w:spacing w:val="-2"/>
          <w:sz w:val="16"/>
        </w:rPr>
        <w:t> </w:t>
      </w:r>
      <w:r>
        <w:rPr>
          <w:sz w:val="16"/>
        </w:rPr>
        <w:t>Listed</w:t>
      </w:r>
      <w:r>
        <w:rPr>
          <w:spacing w:val="-3"/>
          <w:sz w:val="16"/>
        </w:rPr>
        <w:t> </w:t>
      </w:r>
      <w:r>
        <w:rPr>
          <w:sz w:val="16"/>
        </w:rPr>
        <w:t>on</w:t>
      </w:r>
      <w:r>
        <w:rPr>
          <w:spacing w:val="-1"/>
          <w:sz w:val="16"/>
        </w:rPr>
        <w:t> </w:t>
      </w:r>
      <w:r>
        <w:rPr>
          <w:sz w:val="16"/>
        </w:rPr>
        <w:t>the</w:t>
      </w:r>
      <w:r>
        <w:rPr>
          <w:spacing w:val="-4"/>
          <w:sz w:val="16"/>
        </w:rPr>
        <w:t> </w:t>
      </w:r>
      <w:r>
        <w:rPr>
          <w:sz w:val="16"/>
        </w:rPr>
        <w:t>Stock</w:t>
      </w:r>
      <w:r>
        <w:rPr>
          <w:spacing w:val="40"/>
          <w:sz w:val="16"/>
        </w:rPr>
        <w:t> </w:t>
      </w:r>
      <w:r>
        <w:rPr>
          <w:sz w:val="16"/>
        </w:rPr>
        <w:t>Exchange of Thailand.</w:t>
      </w:r>
      <w:r>
        <w:rPr>
          <w:spacing w:val="40"/>
          <w:sz w:val="16"/>
        </w:rPr>
        <w:t> </w:t>
      </w:r>
      <w:r>
        <w:rPr>
          <w:sz w:val="16"/>
        </w:rPr>
        <w:t>Journal of Applied Finance and Banking, 3(2), 189-202.</w:t>
      </w:r>
    </w:p>
    <w:p>
      <w:pPr>
        <w:spacing w:before="12"/>
        <w:ind w:left="369" w:right="0" w:firstLine="0"/>
        <w:jc w:val="left"/>
        <w:rPr>
          <w:sz w:val="16"/>
        </w:rPr>
      </w:pPr>
      <w:r>
        <w:rPr>
          <w:sz w:val="16"/>
        </w:rPr>
        <w:t>Toma,</w:t>
      </w:r>
      <w:r>
        <w:rPr>
          <w:spacing w:val="-6"/>
          <w:sz w:val="16"/>
        </w:rPr>
        <w:t> </w:t>
      </w:r>
      <w:r>
        <w:rPr>
          <w:sz w:val="16"/>
        </w:rPr>
        <w:t>I.</w:t>
      </w:r>
      <w:r>
        <w:rPr>
          <w:spacing w:val="-5"/>
          <w:sz w:val="16"/>
        </w:rPr>
        <w:t> </w:t>
      </w:r>
      <w:r>
        <w:rPr>
          <w:sz w:val="16"/>
        </w:rPr>
        <w:t>(2018).</w:t>
      </w:r>
      <w:r>
        <w:rPr>
          <w:spacing w:val="-8"/>
          <w:sz w:val="16"/>
        </w:rPr>
        <w:t> </w:t>
      </w:r>
      <w:r>
        <w:rPr>
          <w:sz w:val="16"/>
        </w:rPr>
        <w:t>Financial</w:t>
      </w:r>
      <w:r>
        <w:rPr>
          <w:spacing w:val="-7"/>
          <w:sz w:val="16"/>
        </w:rPr>
        <w:t> </w:t>
      </w:r>
      <w:r>
        <w:rPr>
          <w:sz w:val="16"/>
        </w:rPr>
        <w:t>accounting.</w:t>
      </w:r>
      <w:r>
        <w:rPr>
          <w:spacing w:val="-6"/>
          <w:sz w:val="16"/>
        </w:rPr>
        <w:t> </w:t>
      </w:r>
      <w:r>
        <w:rPr>
          <w:sz w:val="16"/>
        </w:rPr>
        <w:t>Editura</w:t>
      </w:r>
      <w:r>
        <w:rPr>
          <w:spacing w:val="-8"/>
          <w:sz w:val="16"/>
        </w:rPr>
        <w:t> </w:t>
      </w:r>
      <w:r>
        <w:rPr>
          <w:sz w:val="16"/>
        </w:rPr>
        <w:t>Universitatea</w:t>
      </w:r>
      <w:r>
        <w:rPr>
          <w:spacing w:val="-7"/>
          <w:sz w:val="16"/>
        </w:rPr>
        <w:t> </w:t>
      </w:r>
      <w:r>
        <w:rPr>
          <w:sz w:val="16"/>
        </w:rPr>
        <w:t>din</w:t>
      </w:r>
      <w:r>
        <w:rPr>
          <w:spacing w:val="-7"/>
          <w:sz w:val="16"/>
        </w:rPr>
        <w:t> </w:t>
      </w:r>
      <w:r>
        <w:rPr>
          <w:spacing w:val="-2"/>
          <w:sz w:val="16"/>
        </w:rPr>
        <w:t>Craiova.</w:t>
      </w:r>
    </w:p>
    <w:p>
      <w:pPr>
        <w:spacing w:before="13"/>
        <w:ind w:left="369" w:right="0" w:firstLine="0"/>
        <w:jc w:val="left"/>
        <w:rPr>
          <w:sz w:val="16"/>
        </w:rPr>
      </w:pPr>
      <w:r>
        <w:rPr>
          <w:sz w:val="16"/>
        </w:rPr>
        <w:t>Ugwu,</w:t>
      </w:r>
      <w:r>
        <w:rPr>
          <w:spacing w:val="-8"/>
          <w:sz w:val="16"/>
        </w:rPr>
        <w:t> </w:t>
      </w:r>
      <w:r>
        <w:rPr>
          <w:sz w:val="16"/>
        </w:rPr>
        <w:t>F.,</w:t>
      </w:r>
      <w:r>
        <w:rPr>
          <w:spacing w:val="-6"/>
          <w:sz w:val="16"/>
        </w:rPr>
        <w:t> </w:t>
      </w:r>
      <w:r>
        <w:rPr>
          <w:sz w:val="16"/>
        </w:rPr>
        <w:t>Okoye,</w:t>
      </w:r>
      <w:r>
        <w:rPr>
          <w:spacing w:val="-6"/>
          <w:sz w:val="16"/>
        </w:rPr>
        <w:t> </w:t>
      </w:r>
      <w:r>
        <w:rPr>
          <w:sz w:val="16"/>
        </w:rPr>
        <w:t>R.,</w:t>
      </w:r>
      <w:r>
        <w:rPr>
          <w:spacing w:val="-3"/>
          <w:sz w:val="16"/>
        </w:rPr>
        <w:t> </w:t>
      </w:r>
      <w:r>
        <w:rPr>
          <w:sz w:val="16"/>
        </w:rPr>
        <w:t>&amp;</w:t>
      </w:r>
      <w:r>
        <w:rPr>
          <w:spacing w:val="-7"/>
          <w:sz w:val="16"/>
        </w:rPr>
        <w:t> </w:t>
      </w:r>
      <w:r>
        <w:rPr>
          <w:sz w:val="16"/>
        </w:rPr>
        <w:t>Nwosu,</w:t>
      </w:r>
      <w:r>
        <w:rPr>
          <w:spacing w:val="-6"/>
          <w:sz w:val="16"/>
        </w:rPr>
        <w:t> </w:t>
      </w:r>
      <w:r>
        <w:rPr>
          <w:sz w:val="16"/>
        </w:rPr>
        <w:t>T.</w:t>
      </w:r>
      <w:r>
        <w:rPr>
          <w:spacing w:val="-3"/>
          <w:sz w:val="16"/>
        </w:rPr>
        <w:t> </w:t>
      </w:r>
      <w:r>
        <w:rPr>
          <w:sz w:val="16"/>
        </w:rPr>
        <w:t>(2020).</w:t>
      </w:r>
      <w:r>
        <w:rPr>
          <w:spacing w:val="-6"/>
          <w:sz w:val="16"/>
        </w:rPr>
        <w:t> </w:t>
      </w:r>
      <w:r>
        <w:rPr>
          <w:sz w:val="16"/>
        </w:rPr>
        <w:t>Cash</w:t>
      </w:r>
      <w:r>
        <w:rPr>
          <w:spacing w:val="-3"/>
          <w:sz w:val="16"/>
        </w:rPr>
        <w:t> </w:t>
      </w:r>
      <w:r>
        <w:rPr>
          <w:sz w:val="16"/>
        </w:rPr>
        <w:t>flow</w:t>
      </w:r>
      <w:r>
        <w:rPr>
          <w:spacing w:val="-7"/>
          <w:sz w:val="16"/>
        </w:rPr>
        <w:t> </w:t>
      </w:r>
      <w:r>
        <w:rPr>
          <w:sz w:val="16"/>
        </w:rPr>
        <w:t>components</w:t>
      </w:r>
      <w:r>
        <w:rPr>
          <w:spacing w:val="-6"/>
          <w:sz w:val="16"/>
        </w:rPr>
        <w:t> </w:t>
      </w:r>
      <w:r>
        <w:rPr>
          <w:sz w:val="16"/>
        </w:rPr>
        <w:t>and</w:t>
      </w:r>
      <w:r>
        <w:rPr>
          <w:spacing w:val="-5"/>
          <w:sz w:val="16"/>
        </w:rPr>
        <w:t> </w:t>
      </w:r>
      <w:r>
        <w:rPr>
          <w:sz w:val="16"/>
        </w:rPr>
        <w:t>bank</w:t>
      </w:r>
      <w:r>
        <w:rPr>
          <w:spacing w:val="-5"/>
          <w:sz w:val="16"/>
        </w:rPr>
        <w:t> </w:t>
      </w:r>
      <w:r>
        <w:rPr>
          <w:sz w:val="16"/>
        </w:rPr>
        <w:t>performance</w:t>
      </w:r>
      <w:r>
        <w:rPr>
          <w:spacing w:val="-6"/>
          <w:sz w:val="16"/>
        </w:rPr>
        <w:t> </w:t>
      </w:r>
      <w:r>
        <w:rPr>
          <w:sz w:val="16"/>
        </w:rPr>
        <w:t>in</w:t>
      </w:r>
      <w:r>
        <w:rPr>
          <w:spacing w:val="-3"/>
          <w:sz w:val="16"/>
        </w:rPr>
        <w:t> </w:t>
      </w:r>
      <w:r>
        <w:rPr>
          <w:sz w:val="16"/>
        </w:rPr>
        <w:t>Nigeria.</w:t>
      </w:r>
      <w:r>
        <w:rPr>
          <w:spacing w:val="-6"/>
          <w:sz w:val="16"/>
        </w:rPr>
        <w:t> </w:t>
      </w:r>
      <w:r>
        <w:rPr>
          <w:sz w:val="16"/>
        </w:rPr>
        <w:t>Nigerian</w:t>
      </w:r>
      <w:r>
        <w:rPr>
          <w:spacing w:val="-5"/>
          <w:sz w:val="16"/>
        </w:rPr>
        <w:t> </w:t>
      </w:r>
      <w:r>
        <w:rPr>
          <w:sz w:val="16"/>
        </w:rPr>
        <w:t>Journal</w:t>
      </w:r>
      <w:r>
        <w:rPr>
          <w:spacing w:val="-5"/>
          <w:sz w:val="16"/>
        </w:rPr>
        <w:t> </w:t>
      </w:r>
      <w:r>
        <w:rPr>
          <w:sz w:val="16"/>
        </w:rPr>
        <w:t>of</w:t>
      </w:r>
      <w:r>
        <w:rPr>
          <w:spacing w:val="-7"/>
          <w:sz w:val="16"/>
        </w:rPr>
        <w:t> </w:t>
      </w:r>
      <w:r>
        <w:rPr>
          <w:sz w:val="16"/>
        </w:rPr>
        <w:t>Banking</w:t>
      </w:r>
      <w:r>
        <w:rPr>
          <w:spacing w:val="-5"/>
          <w:sz w:val="16"/>
        </w:rPr>
        <w:t> </w:t>
      </w:r>
      <w:r>
        <w:rPr>
          <w:sz w:val="16"/>
        </w:rPr>
        <w:t>Studies,</w:t>
      </w:r>
      <w:r>
        <w:rPr>
          <w:spacing w:val="-6"/>
          <w:sz w:val="16"/>
        </w:rPr>
        <w:t> </w:t>
      </w:r>
      <w:r>
        <w:rPr>
          <w:sz w:val="16"/>
        </w:rPr>
        <w:t>7(3),</w:t>
      </w:r>
      <w:r>
        <w:rPr>
          <w:spacing w:val="-5"/>
          <w:sz w:val="16"/>
        </w:rPr>
        <w:t> </w:t>
      </w:r>
      <w:r>
        <w:rPr>
          <w:sz w:val="16"/>
        </w:rPr>
        <w:t>101–</w:t>
      </w:r>
      <w:r>
        <w:rPr>
          <w:spacing w:val="-4"/>
          <w:sz w:val="16"/>
        </w:rPr>
        <w:t>116.</w:t>
      </w:r>
    </w:p>
    <w:p>
      <w:pPr>
        <w:spacing w:line="228" w:lineRule="auto" w:before="18"/>
        <w:ind w:left="687" w:right="0" w:hanging="318"/>
        <w:jc w:val="left"/>
        <w:rPr>
          <w:sz w:val="16"/>
        </w:rPr>
      </w:pPr>
      <w:r>
        <w:rPr>
          <w:sz w:val="16"/>
        </w:rPr>
        <w:t>Venugopala,</w:t>
      </w:r>
      <w:r>
        <w:rPr>
          <w:spacing w:val="-3"/>
          <w:sz w:val="16"/>
        </w:rPr>
        <w:t> </w:t>
      </w:r>
      <w:r>
        <w:rPr>
          <w:sz w:val="16"/>
        </w:rPr>
        <w:t>R.,</w:t>
      </w:r>
      <w:r>
        <w:rPr>
          <w:spacing w:val="-3"/>
          <w:sz w:val="16"/>
        </w:rPr>
        <w:t> </w:t>
      </w:r>
      <w:r>
        <w:rPr>
          <w:sz w:val="16"/>
        </w:rPr>
        <w:t>Ibrahim, N. A., &amp;</w:t>
      </w:r>
      <w:r>
        <w:rPr>
          <w:spacing w:val="-3"/>
          <w:sz w:val="16"/>
        </w:rPr>
        <w:t> </w:t>
      </w:r>
      <w:r>
        <w:rPr>
          <w:sz w:val="16"/>
        </w:rPr>
        <w:t>Mani, V. (2023). The</w:t>
      </w:r>
      <w:r>
        <w:rPr>
          <w:spacing w:val="-3"/>
          <w:sz w:val="16"/>
        </w:rPr>
        <w:t> </w:t>
      </w:r>
      <w:r>
        <w:rPr>
          <w:sz w:val="16"/>
        </w:rPr>
        <w:t>value relevance of</w:t>
      </w:r>
      <w:r>
        <w:rPr>
          <w:spacing w:val="-4"/>
          <w:sz w:val="16"/>
        </w:rPr>
        <w:t> </w:t>
      </w:r>
      <w:r>
        <w:rPr>
          <w:sz w:val="16"/>
        </w:rPr>
        <w:t>financial information</w:t>
      </w:r>
      <w:r>
        <w:rPr>
          <w:spacing w:val="-2"/>
          <w:sz w:val="16"/>
        </w:rPr>
        <w:t> </w:t>
      </w:r>
      <w:r>
        <w:rPr>
          <w:sz w:val="16"/>
        </w:rPr>
        <w:t>in</w:t>
      </w:r>
      <w:r>
        <w:rPr>
          <w:spacing w:val="-2"/>
          <w:sz w:val="16"/>
        </w:rPr>
        <w:t> </w:t>
      </w:r>
      <w:r>
        <w:rPr>
          <w:sz w:val="16"/>
        </w:rPr>
        <w:t>India before</w:t>
      </w:r>
      <w:r>
        <w:rPr>
          <w:spacing w:val="-3"/>
          <w:sz w:val="16"/>
        </w:rPr>
        <w:t> </w:t>
      </w:r>
      <w:r>
        <w:rPr>
          <w:sz w:val="16"/>
        </w:rPr>
        <w:t>and after</w:t>
      </w:r>
      <w:r>
        <w:rPr>
          <w:spacing w:val="-2"/>
          <w:sz w:val="16"/>
        </w:rPr>
        <w:t> </w:t>
      </w:r>
      <w:r>
        <w:rPr>
          <w:sz w:val="16"/>
        </w:rPr>
        <w:t>the adoption</w:t>
      </w:r>
      <w:r>
        <w:rPr>
          <w:spacing w:val="-2"/>
          <w:sz w:val="16"/>
        </w:rPr>
        <w:t> </w:t>
      </w:r>
      <w:r>
        <w:rPr>
          <w:sz w:val="16"/>
        </w:rPr>
        <w:t>of</w:t>
      </w:r>
      <w:r>
        <w:rPr>
          <w:spacing w:val="-2"/>
          <w:sz w:val="16"/>
        </w:rPr>
        <w:t> </w:t>
      </w:r>
      <w:r>
        <w:rPr>
          <w:sz w:val="16"/>
        </w:rPr>
        <w:t>Indian</w:t>
      </w:r>
      <w:r>
        <w:rPr>
          <w:spacing w:val="-2"/>
          <w:sz w:val="16"/>
        </w:rPr>
        <w:t> </w:t>
      </w:r>
      <w:r>
        <w:rPr>
          <w:sz w:val="16"/>
        </w:rPr>
        <w:t>accounting</w:t>
      </w:r>
      <w:r>
        <w:rPr>
          <w:spacing w:val="40"/>
          <w:sz w:val="16"/>
        </w:rPr>
        <w:t> </w:t>
      </w:r>
      <w:r>
        <w:rPr>
          <w:sz w:val="16"/>
        </w:rPr>
        <w:t>standards (Ind AS). Accounting Forum, 47(2), 142-157.</w:t>
      </w:r>
    </w:p>
    <w:p>
      <w:pPr>
        <w:spacing w:before="12"/>
        <w:ind w:left="369" w:right="0" w:firstLine="0"/>
        <w:jc w:val="left"/>
        <w:rPr>
          <w:sz w:val="16"/>
        </w:rPr>
      </w:pPr>
      <w:r>
        <w:rPr>
          <w:sz w:val="16"/>
        </w:rPr>
        <w:t>Watts,</w:t>
      </w:r>
      <w:r>
        <w:rPr>
          <w:spacing w:val="-9"/>
          <w:sz w:val="16"/>
        </w:rPr>
        <w:t> </w:t>
      </w:r>
      <w:r>
        <w:rPr>
          <w:sz w:val="16"/>
        </w:rPr>
        <w:t>R.</w:t>
      </w:r>
      <w:r>
        <w:rPr>
          <w:spacing w:val="-7"/>
          <w:sz w:val="16"/>
        </w:rPr>
        <w:t> </w:t>
      </w:r>
      <w:r>
        <w:rPr>
          <w:sz w:val="16"/>
        </w:rPr>
        <w:t>L.,</w:t>
      </w:r>
      <w:r>
        <w:rPr>
          <w:spacing w:val="-6"/>
          <w:sz w:val="16"/>
        </w:rPr>
        <w:t> </w:t>
      </w:r>
      <w:r>
        <w:rPr>
          <w:sz w:val="16"/>
        </w:rPr>
        <w:t>&amp;</w:t>
      </w:r>
      <w:r>
        <w:rPr>
          <w:spacing w:val="-5"/>
          <w:sz w:val="16"/>
        </w:rPr>
        <w:t> </w:t>
      </w:r>
      <w:r>
        <w:rPr>
          <w:sz w:val="16"/>
        </w:rPr>
        <w:t>Zimmerman,</w:t>
      </w:r>
      <w:r>
        <w:rPr>
          <w:spacing w:val="-4"/>
          <w:sz w:val="16"/>
        </w:rPr>
        <w:t> </w:t>
      </w:r>
      <w:r>
        <w:rPr>
          <w:sz w:val="16"/>
        </w:rPr>
        <w:t>J.</w:t>
      </w:r>
      <w:r>
        <w:rPr>
          <w:spacing w:val="-4"/>
          <w:sz w:val="16"/>
        </w:rPr>
        <w:t> </w:t>
      </w:r>
      <w:r>
        <w:rPr>
          <w:sz w:val="16"/>
        </w:rPr>
        <w:t>L.</w:t>
      </w:r>
      <w:r>
        <w:rPr>
          <w:spacing w:val="-4"/>
          <w:sz w:val="16"/>
        </w:rPr>
        <w:t> </w:t>
      </w:r>
      <w:r>
        <w:rPr>
          <w:sz w:val="16"/>
        </w:rPr>
        <w:t>(1986).</w:t>
      </w:r>
      <w:r>
        <w:rPr>
          <w:spacing w:val="-7"/>
          <w:sz w:val="16"/>
        </w:rPr>
        <w:t> </w:t>
      </w:r>
      <w:r>
        <w:rPr>
          <w:sz w:val="16"/>
        </w:rPr>
        <w:t>Positive</w:t>
      </w:r>
      <w:r>
        <w:rPr>
          <w:spacing w:val="-7"/>
          <w:sz w:val="16"/>
        </w:rPr>
        <w:t> </w:t>
      </w:r>
      <w:r>
        <w:rPr>
          <w:sz w:val="16"/>
        </w:rPr>
        <w:t>accounting</w:t>
      </w:r>
      <w:r>
        <w:rPr>
          <w:spacing w:val="-5"/>
          <w:sz w:val="16"/>
        </w:rPr>
        <w:t> </w:t>
      </w:r>
      <w:r>
        <w:rPr>
          <w:sz w:val="16"/>
        </w:rPr>
        <w:t>theory.</w:t>
      </w:r>
      <w:r>
        <w:rPr>
          <w:spacing w:val="-4"/>
          <w:sz w:val="16"/>
        </w:rPr>
        <w:t> </w:t>
      </w:r>
      <w:r>
        <w:rPr>
          <w:sz w:val="16"/>
        </w:rPr>
        <w:t>Prentice-</w:t>
      </w:r>
      <w:r>
        <w:rPr>
          <w:spacing w:val="-2"/>
          <w:sz w:val="16"/>
        </w:rPr>
        <w:t>Hall.</w:t>
      </w:r>
    </w:p>
    <w:p>
      <w:pPr>
        <w:spacing w:before="11"/>
        <w:ind w:left="369" w:right="0" w:firstLine="0"/>
        <w:jc w:val="left"/>
        <w:rPr>
          <w:sz w:val="16"/>
        </w:rPr>
      </w:pPr>
      <w:r>
        <w:rPr>
          <w:sz w:val="16"/>
        </w:rPr>
        <w:t>Yusuf,</w:t>
      </w:r>
      <w:r>
        <w:rPr>
          <w:spacing w:val="-8"/>
          <w:sz w:val="16"/>
        </w:rPr>
        <w:t> </w:t>
      </w:r>
      <w:r>
        <w:rPr>
          <w:sz w:val="16"/>
        </w:rPr>
        <w:t>A.,</w:t>
      </w:r>
      <w:r>
        <w:rPr>
          <w:spacing w:val="-6"/>
          <w:sz w:val="16"/>
        </w:rPr>
        <w:t> </w:t>
      </w:r>
      <w:r>
        <w:rPr>
          <w:sz w:val="16"/>
        </w:rPr>
        <w:t>&amp;</w:t>
      </w:r>
      <w:r>
        <w:rPr>
          <w:spacing w:val="-6"/>
          <w:sz w:val="16"/>
        </w:rPr>
        <w:t> </w:t>
      </w:r>
      <w:r>
        <w:rPr>
          <w:sz w:val="16"/>
        </w:rPr>
        <w:t>Bello,</w:t>
      </w:r>
      <w:r>
        <w:rPr>
          <w:spacing w:val="-5"/>
          <w:sz w:val="16"/>
        </w:rPr>
        <w:t> </w:t>
      </w:r>
      <w:r>
        <w:rPr>
          <w:sz w:val="16"/>
        </w:rPr>
        <w:t>K.</w:t>
      </w:r>
      <w:r>
        <w:rPr>
          <w:spacing w:val="-6"/>
          <w:sz w:val="16"/>
        </w:rPr>
        <w:t> </w:t>
      </w:r>
      <w:r>
        <w:rPr>
          <w:sz w:val="16"/>
        </w:rPr>
        <w:t>(2021).</w:t>
      </w:r>
      <w:r>
        <w:rPr>
          <w:spacing w:val="-6"/>
          <w:sz w:val="16"/>
        </w:rPr>
        <w:t> </w:t>
      </w:r>
      <w:r>
        <w:rPr>
          <w:sz w:val="16"/>
        </w:rPr>
        <w:t>Cash</w:t>
      </w:r>
      <w:r>
        <w:rPr>
          <w:spacing w:val="-4"/>
          <w:sz w:val="16"/>
        </w:rPr>
        <w:t> </w:t>
      </w:r>
      <w:r>
        <w:rPr>
          <w:sz w:val="16"/>
        </w:rPr>
        <w:t>flow</w:t>
      </w:r>
      <w:r>
        <w:rPr>
          <w:spacing w:val="-7"/>
          <w:sz w:val="16"/>
        </w:rPr>
        <w:t> </w:t>
      </w:r>
      <w:r>
        <w:rPr>
          <w:sz w:val="16"/>
        </w:rPr>
        <w:t>and</w:t>
      </w:r>
      <w:r>
        <w:rPr>
          <w:spacing w:val="-5"/>
          <w:sz w:val="16"/>
        </w:rPr>
        <w:t> </w:t>
      </w:r>
      <w:r>
        <w:rPr>
          <w:sz w:val="16"/>
        </w:rPr>
        <w:t>corporate</w:t>
      </w:r>
      <w:r>
        <w:rPr>
          <w:spacing w:val="-3"/>
          <w:sz w:val="16"/>
        </w:rPr>
        <w:t> </w:t>
      </w:r>
      <w:r>
        <w:rPr>
          <w:sz w:val="16"/>
        </w:rPr>
        <w:t>failure</w:t>
      </w:r>
      <w:r>
        <w:rPr>
          <w:spacing w:val="-5"/>
          <w:sz w:val="16"/>
        </w:rPr>
        <w:t> </w:t>
      </w:r>
      <w:r>
        <w:rPr>
          <w:sz w:val="16"/>
        </w:rPr>
        <w:t>prediction</w:t>
      </w:r>
      <w:r>
        <w:rPr>
          <w:spacing w:val="-5"/>
          <w:sz w:val="16"/>
        </w:rPr>
        <w:t> </w:t>
      </w:r>
      <w:r>
        <w:rPr>
          <w:sz w:val="16"/>
        </w:rPr>
        <w:t>in</w:t>
      </w:r>
      <w:r>
        <w:rPr>
          <w:spacing w:val="-3"/>
          <w:sz w:val="16"/>
        </w:rPr>
        <w:t> </w:t>
      </w:r>
      <w:r>
        <w:rPr>
          <w:sz w:val="16"/>
        </w:rPr>
        <w:t>Nigeria.</w:t>
      </w:r>
      <w:r>
        <w:rPr>
          <w:spacing w:val="-6"/>
          <w:sz w:val="16"/>
        </w:rPr>
        <w:t> </w:t>
      </w:r>
      <w:r>
        <w:rPr>
          <w:sz w:val="16"/>
        </w:rPr>
        <w:t>Journal</w:t>
      </w:r>
      <w:r>
        <w:rPr>
          <w:spacing w:val="-5"/>
          <w:sz w:val="16"/>
        </w:rPr>
        <w:t> </w:t>
      </w:r>
      <w:r>
        <w:rPr>
          <w:sz w:val="16"/>
        </w:rPr>
        <w:t>of</w:t>
      </w:r>
      <w:r>
        <w:rPr>
          <w:spacing w:val="-6"/>
          <w:sz w:val="16"/>
        </w:rPr>
        <w:t> </w:t>
      </w:r>
      <w:r>
        <w:rPr>
          <w:sz w:val="16"/>
        </w:rPr>
        <w:t>Financial</w:t>
      </w:r>
      <w:r>
        <w:rPr>
          <w:spacing w:val="-5"/>
          <w:sz w:val="16"/>
        </w:rPr>
        <w:t> </w:t>
      </w:r>
      <w:r>
        <w:rPr>
          <w:sz w:val="16"/>
        </w:rPr>
        <w:t>Forecasting,</w:t>
      </w:r>
      <w:r>
        <w:rPr>
          <w:spacing w:val="-6"/>
          <w:sz w:val="16"/>
        </w:rPr>
        <w:t> </w:t>
      </w:r>
      <w:r>
        <w:rPr>
          <w:sz w:val="16"/>
        </w:rPr>
        <w:t>12(1),</w:t>
      </w:r>
      <w:r>
        <w:rPr>
          <w:spacing w:val="-5"/>
          <w:sz w:val="16"/>
        </w:rPr>
        <w:t> </w:t>
      </w:r>
      <w:r>
        <w:rPr>
          <w:sz w:val="16"/>
        </w:rPr>
        <w:t>87–</w:t>
      </w:r>
      <w:r>
        <w:rPr>
          <w:spacing w:val="-5"/>
          <w:sz w:val="16"/>
        </w:rPr>
        <w:t>101</w:t>
      </w:r>
    </w:p>
    <w:sectPr>
      <w:pgSz w:w="11910" w:h="16840"/>
      <w:pgMar w:header="474" w:footer="301" w:top="700" w:bottom="50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019520">
              <wp:simplePos x="0" y="0"/>
              <wp:positionH relativeFrom="page">
                <wp:posOffset>453644</wp:posOffset>
              </wp:positionH>
              <wp:positionV relativeFrom="page">
                <wp:posOffset>10358600</wp:posOffset>
              </wp:positionV>
              <wp:extent cx="2340610" cy="12382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40610" cy="123825"/>
                      </a:xfrm>
                      <a:prstGeom prst="rect">
                        <a:avLst/>
                      </a:prstGeom>
                    </wps:spPr>
                    <wps:txbx>
                      <w:txbxContent>
                        <w:p>
                          <w:pPr>
                            <w:spacing w:before="13"/>
                            <w:ind w:left="20" w:right="0" w:firstLine="0"/>
                            <w:jc w:val="left"/>
                            <w:rPr>
                              <w:i/>
                              <w:sz w:val="14"/>
                            </w:rPr>
                          </w:pPr>
                          <w:r>
                            <w:rPr>
                              <w:i/>
                              <w:sz w:val="14"/>
                            </w:rPr>
                            <w:t>Journal</w:t>
                          </w:r>
                          <w:r>
                            <w:rPr>
                              <w:i/>
                              <w:spacing w:val="-4"/>
                              <w:sz w:val="14"/>
                            </w:rPr>
                            <w:t> </w:t>
                          </w:r>
                          <w:r>
                            <w:rPr>
                              <w:i/>
                              <w:sz w:val="14"/>
                            </w:rPr>
                            <w:t>of</w:t>
                          </w:r>
                          <w:r>
                            <w:rPr>
                              <w:i/>
                              <w:spacing w:val="-4"/>
                              <w:sz w:val="14"/>
                            </w:rPr>
                            <w:t> </w:t>
                          </w:r>
                          <w:r>
                            <w:rPr>
                              <w:i/>
                              <w:sz w:val="14"/>
                            </w:rPr>
                            <w:t>Computing</w:t>
                          </w:r>
                          <w:r>
                            <w:rPr>
                              <w:i/>
                              <w:spacing w:val="-4"/>
                              <w:sz w:val="14"/>
                            </w:rPr>
                            <w:t> </w:t>
                          </w:r>
                          <w:r>
                            <w:rPr>
                              <w:i/>
                              <w:sz w:val="14"/>
                            </w:rPr>
                            <w:t>and</w:t>
                          </w:r>
                          <w:r>
                            <w:rPr>
                              <w:i/>
                              <w:spacing w:val="-4"/>
                              <w:sz w:val="14"/>
                            </w:rPr>
                            <w:t> </w:t>
                          </w:r>
                          <w:r>
                            <w:rPr>
                              <w:i/>
                              <w:sz w:val="14"/>
                            </w:rPr>
                            <w:t>Numerical</w:t>
                          </w:r>
                          <w:r>
                            <w:rPr>
                              <w:i/>
                              <w:spacing w:val="-4"/>
                              <w:sz w:val="14"/>
                            </w:rPr>
                            <w:t> </w:t>
                          </w:r>
                          <w:r>
                            <w:rPr>
                              <w:i/>
                              <w:sz w:val="14"/>
                            </w:rPr>
                            <w:t>Sciences</w:t>
                          </w:r>
                          <w:r>
                            <w:rPr>
                              <w:i/>
                              <w:spacing w:val="-2"/>
                              <w:sz w:val="14"/>
                            </w:rPr>
                            <w:t> </w:t>
                          </w:r>
                          <w:r>
                            <w:rPr>
                              <w:i/>
                              <w:sz w:val="14"/>
                            </w:rPr>
                            <w:t>2026,</w:t>
                          </w:r>
                          <w:r>
                            <w:rPr>
                              <w:i/>
                              <w:spacing w:val="-2"/>
                              <w:sz w:val="14"/>
                            </w:rPr>
                            <w:t> </w:t>
                          </w:r>
                          <w:r>
                            <w:rPr>
                              <w:i/>
                              <w:sz w:val="14"/>
                            </w:rPr>
                            <w:t>1(1),</w:t>
                          </w:r>
                          <w:r>
                            <w:rPr>
                              <w:i/>
                              <w:spacing w:val="-3"/>
                              <w:sz w:val="14"/>
                            </w:rPr>
                            <w:t> </w:t>
                          </w:r>
                          <w:r>
                            <w:rPr>
                              <w:i/>
                              <w:sz w:val="14"/>
                            </w:rPr>
                            <w:t>xx-</w:t>
                          </w:r>
                          <w:r>
                            <w:rPr>
                              <w:i/>
                              <w:spacing w:val="-5"/>
                              <w:sz w:val="14"/>
                            </w:rPr>
                            <w:t>xx.</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720001pt;margin-top:815.637817pt;width:184.3pt;height:9.75pt;mso-position-horizontal-relative:page;mso-position-vertical-relative:page;z-index:-16296960" type="#_x0000_t202" id="docshape1" filled="false" stroked="false">
              <v:textbox inset="0,0,0,0">
                <w:txbxContent>
                  <w:p>
                    <w:pPr>
                      <w:spacing w:before="13"/>
                      <w:ind w:left="20" w:right="0" w:firstLine="0"/>
                      <w:jc w:val="left"/>
                      <w:rPr>
                        <w:i/>
                        <w:sz w:val="14"/>
                      </w:rPr>
                    </w:pPr>
                    <w:r>
                      <w:rPr>
                        <w:i/>
                        <w:sz w:val="14"/>
                      </w:rPr>
                      <w:t>Journal</w:t>
                    </w:r>
                    <w:r>
                      <w:rPr>
                        <w:i/>
                        <w:spacing w:val="-4"/>
                        <w:sz w:val="14"/>
                      </w:rPr>
                      <w:t> </w:t>
                    </w:r>
                    <w:r>
                      <w:rPr>
                        <w:i/>
                        <w:sz w:val="14"/>
                      </w:rPr>
                      <w:t>of</w:t>
                    </w:r>
                    <w:r>
                      <w:rPr>
                        <w:i/>
                        <w:spacing w:val="-4"/>
                        <w:sz w:val="14"/>
                      </w:rPr>
                      <w:t> </w:t>
                    </w:r>
                    <w:r>
                      <w:rPr>
                        <w:i/>
                        <w:sz w:val="14"/>
                      </w:rPr>
                      <w:t>Computing</w:t>
                    </w:r>
                    <w:r>
                      <w:rPr>
                        <w:i/>
                        <w:spacing w:val="-4"/>
                        <w:sz w:val="14"/>
                      </w:rPr>
                      <w:t> </w:t>
                    </w:r>
                    <w:r>
                      <w:rPr>
                        <w:i/>
                        <w:sz w:val="14"/>
                      </w:rPr>
                      <w:t>and</w:t>
                    </w:r>
                    <w:r>
                      <w:rPr>
                        <w:i/>
                        <w:spacing w:val="-4"/>
                        <w:sz w:val="14"/>
                      </w:rPr>
                      <w:t> </w:t>
                    </w:r>
                    <w:r>
                      <w:rPr>
                        <w:i/>
                        <w:sz w:val="14"/>
                      </w:rPr>
                      <w:t>Numerical</w:t>
                    </w:r>
                    <w:r>
                      <w:rPr>
                        <w:i/>
                        <w:spacing w:val="-4"/>
                        <w:sz w:val="14"/>
                      </w:rPr>
                      <w:t> </w:t>
                    </w:r>
                    <w:r>
                      <w:rPr>
                        <w:i/>
                        <w:sz w:val="14"/>
                      </w:rPr>
                      <w:t>Sciences</w:t>
                    </w:r>
                    <w:r>
                      <w:rPr>
                        <w:i/>
                        <w:spacing w:val="-2"/>
                        <w:sz w:val="14"/>
                      </w:rPr>
                      <w:t> </w:t>
                    </w:r>
                    <w:r>
                      <w:rPr>
                        <w:i/>
                        <w:sz w:val="14"/>
                      </w:rPr>
                      <w:t>2026,</w:t>
                    </w:r>
                    <w:r>
                      <w:rPr>
                        <w:i/>
                        <w:spacing w:val="-2"/>
                        <w:sz w:val="14"/>
                      </w:rPr>
                      <w:t> </w:t>
                    </w:r>
                    <w:r>
                      <w:rPr>
                        <w:i/>
                        <w:sz w:val="14"/>
                      </w:rPr>
                      <w:t>1(1),</w:t>
                    </w:r>
                    <w:r>
                      <w:rPr>
                        <w:i/>
                        <w:spacing w:val="-3"/>
                        <w:sz w:val="14"/>
                      </w:rPr>
                      <w:t> </w:t>
                    </w:r>
                    <w:r>
                      <w:rPr>
                        <w:i/>
                        <w:sz w:val="14"/>
                      </w:rPr>
                      <w:t>xx-</w:t>
                    </w:r>
                    <w:r>
                      <w:rPr>
                        <w:i/>
                        <w:spacing w:val="-5"/>
                        <w:sz w:val="14"/>
                      </w:rPr>
                      <w:t>xx.</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20032">
              <wp:simplePos x="0" y="0"/>
              <wp:positionH relativeFrom="page">
                <wp:posOffset>6450329</wp:posOffset>
              </wp:positionH>
              <wp:positionV relativeFrom="page">
                <wp:posOffset>10358600</wp:posOffset>
              </wp:positionV>
              <wp:extent cx="657860" cy="12382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57860" cy="123825"/>
                      </a:xfrm>
                      <a:prstGeom prst="rect">
                        <a:avLst/>
                      </a:prstGeom>
                    </wps:spPr>
                    <wps:txbx>
                      <w:txbxContent>
                        <w:p>
                          <w:pPr>
                            <w:spacing w:before="13"/>
                            <w:ind w:left="20" w:right="0" w:firstLine="0"/>
                            <w:jc w:val="left"/>
                            <w:rPr>
                              <w:sz w:val="14"/>
                            </w:rPr>
                          </w:pPr>
                          <w:hyperlink r:id="rId1">
                            <w:r>
                              <w:rPr>
                                <w:spacing w:val="-2"/>
                                <w:sz w:val="14"/>
                              </w:rPr>
                              <w:t>https://jcns.gcwuf</w:t>
                            </w:r>
                          </w:hyperlink>
                        </w:p>
                      </w:txbxContent>
                    </wps:txbx>
                    <wps:bodyPr wrap="square" lIns="0" tIns="0" rIns="0" bIns="0" rtlCol="0">
                      <a:noAutofit/>
                    </wps:bodyPr>
                  </wps:wsp>
                </a:graphicData>
              </a:graphic>
            </wp:anchor>
          </w:drawing>
        </mc:Choice>
        <mc:Fallback>
          <w:pict>
            <v:shape style="position:absolute;margin-left:507.899994pt;margin-top:815.637817pt;width:51.8pt;height:9.75pt;mso-position-horizontal-relative:page;mso-position-vertical-relative:page;z-index:-16296448" type="#_x0000_t202" id="docshape2" filled="false" stroked="false">
              <v:textbox inset="0,0,0,0">
                <w:txbxContent>
                  <w:p>
                    <w:pPr>
                      <w:spacing w:before="13"/>
                      <w:ind w:left="20" w:right="0" w:firstLine="0"/>
                      <w:jc w:val="left"/>
                      <w:rPr>
                        <w:sz w:val="14"/>
                      </w:rPr>
                    </w:pPr>
                    <w:hyperlink r:id="rId1">
                      <w:r>
                        <w:rPr>
                          <w:spacing w:val="-2"/>
                          <w:sz w:val="14"/>
                        </w:rPr>
                        <w:t>https://jcns.gcwuf</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022080">
              <wp:simplePos x="0" y="0"/>
              <wp:positionH relativeFrom="page">
                <wp:posOffset>594360</wp:posOffset>
              </wp:positionH>
              <wp:positionV relativeFrom="page">
                <wp:posOffset>10492752</wp:posOffset>
              </wp:positionV>
              <wp:extent cx="6375400" cy="63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375400" cy="6350"/>
                      </a:xfrm>
                      <a:custGeom>
                        <a:avLst/>
                        <a:gdLst/>
                        <a:ahLst/>
                        <a:cxnLst/>
                        <a:rect l="l" t="t" r="r" b="b"/>
                        <a:pathLst>
                          <a:path w="6375400" h="6350">
                            <a:moveTo>
                              <a:pt x="6374892" y="0"/>
                            </a:moveTo>
                            <a:lnTo>
                              <a:pt x="4298569" y="0"/>
                            </a:lnTo>
                            <a:lnTo>
                              <a:pt x="0" y="0"/>
                            </a:lnTo>
                            <a:lnTo>
                              <a:pt x="0" y="6083"/>
                            </a:lnTo>
                            <a:lnTo>
                              <a:pt x="4298569" y="6083"/>
                            </a:lnTo>
                            <a:lnTo>
                              <a:pt x="6374892" y="6083"/>
                            </a:lnTo>
                            <a:lnTo>
                              <a:pt x="6374892" y="0"/>
                            </a:lnTo>
                            <a:close/>
                          </a:path>
                        </a:pathLst>
                      </a:custGeom>
                      <a:solidFill>
                        <a:srgbClr val="777777"/>
                      </a:solidFill>
                    </wps:spPr>
                    <wps:bodyPr wrap="square" lIns="0" tIns="0" rIns="0" bIns="0" rtlCol="0">
                      <a:prstTxWarp prst="textNoShape">
                        <a:avLst/>
                      </a:prstTxWarp>
                      <a:noAutofit/>
                    </wps:bodyPr>
                  </wps:wsp>
                </a:graphicData>
              </a:graphic>
            </wp:anchor>
          </w:drawing>
        </mc:Choice>
        <mc:Fallback>
          <w:pict>
            <v:shape style="position:absolute;margin-left:46.800003pt;margin-top:826.200989pt;width:502pt;height:.5pt;mso-position-horizontal-relative:page;mso-position-vertical-relative:page;z-index:-16294400" id="docshape8" coordorigin="936,16524" coordsize="10040,10" path="m10975,16524l7705,16524,936,16524,936,16534,7705,16534,10975,16534,10975,16524xe" filled="true" fillcolor="#777777"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022592">
              <wp:simplePos x="0" y="0"/>
              <wp:positionH relativeFrom="page">
                <wp:posOffset>581659</wp:posOffset>
              </wp:positionH>
              <wp:positionV relativeFrom="page">
                <wp:posOffset>10358600</wp:posOffset>
              </wp:positionV>
              <wp:extent cx="2340610" cy="12382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340610" cy="123825"/>
                      </a:xfrm>
                      <a:prstGeom prst="rect">
                        <a:avLst/>
                      </a:prstGeom>
                    </wps:spPr>
                    <wps:txbx>
                      <w:txbxContent>
                        <w:p>
                          <w:pPr>
                            <w:spacing w:before="13"/>
                            <w:ind w:left="20" w:right="0" w:firstLine="0"/>
                            <w:jc w:val="left"/>
                            <w:rPr>
                              <w:i/>
                              <w:sz w:val="14"/>
                            </w:rPr>
                          </w:pPr>
                          <w:r>
                            <w:rPr>
                              <w:i/>
                              <w:sz w:val="14"/>
                            </w:rPr>
                            <w:t>Journal</w:t>
                          </w:r>
                          <w:r>
                            <w:rPr>
                              <w:i/>
                              <w:spacing w:val="-4"/>
                              <w:sz w:val="14"/>
                            </w:rPr>
                            <w:t> </w:t>
                          </w:r>
                          <w:r>
                            <w:rPr>
                              <w:i/>
                              <w:sz w:val="14"/>
                            </w:rPr>
                            <w:t>of</w:t>
                          </w:r>
                          <w:r>
                            <w:rPr>
                              <w:i/>
                              <w:spacing w:val="-4"/>
                              <w:sz w:val="14"/>
                            </w:rPr>
                            <w:t> </w:t>
                          </w:r>
                          <w:r>
                            <w:rPr>
                              <w:i/>
                              <w:sz w:val="14"/>
                            </w:rPr>
                            <w:t>Computing</w:t>
                          </w:r>
                          <w:r>
                            <w:rPr>
                              <w:i/>
                              <w:spacing w:val="-4"/>
                              <w:sz w:val="14"/>
                            </w:rPr>
                            <w:t> </w:t>
                          </w:r>
                          <w:r>
                            <w:rPr>
                              <w:i/>
                              <w:sz w:val="14"/>
                            </w:rPr>
                            <w:t>and</w:t>
                          </w:r>
                          <w:r>
                            <w:rPr>
                              <w:i/>
                              <w:spacing w:val="-4"/>
                              <w:sz w:val="14"/>
                            </w:rPr>
                            <w:t> </w:t>
                          </w:r>
                          <w:r>
                            <w:rPr>
                              <w:i/>
                              <w:sz w:val="14"/>
                            </w:rPr>
                            <w:t>Numerical</w:t>
                          </w:r>
                          <w:r>
                            <w:rPr>
                              <w:i/>
                              <w:spacing w:val="-4"/>
                              <w:sz w:val="14"/>
                            </w:rPr>
                            <w:t> </w:t>
                          </w:r>
                          <w:r>
                            <w:rPr>
                              <w:i/>
                              <w:sz w:val="14"/>
                            </w:rPr>
                            <w:t>Sciences</w:t>
                          </w:r>
                          <w:r>
                            <w:rPr>
                              <w:i/>
                              <w:spacing w:val="-2"/>
                              <w:sz w:val="14"/>
                            </w:rPr>
                            <w:t> </w:t>
                          </w:r>
                          <w:r>
                            <w:rPr>
                              <w:i/>
                              <w:sz w:val="14"/>
                            </w:rPr>
                            <w:t>2026,</w:t>
                          </w:r>
                          <w:r>
                            <w:rPr>
                              <w:i/>
                              <w:spacing w:val="-2"/>
                              <w:sz w:val="14"/>
                            </w:rPr>
                            <w:t> </w:t>
                          </w:r>
                          <w:r>
                            <w:rPr>
                              <w:i/>
                              <w:sz w:val="14"/>
                            </w:rPr>
                            <w:t>1(1),</w:t>
                          </w:r>
                          <w:r>
                            <w:rPr>
                              <w:i/>
                              <w:spacing w:val="-3"/>
                              <w:sz w:val="14"/>
                            </w:rPr>
                            <w:t> </w:t>
                          </w:r>
                          <w:r>
                            <w:rPr>
                              <w:i/>
                              <w:sz w:val="14"/>
                            </w:rPr>
                            <w:t>xx-</w:t>
                          </w:r>
                          <w:r>
                            <w:rPr>
                              <w:i/>
                              <w:spacing w:val="-5"/>
                              <w:sz w:val="14"/>
                            </w:rPr>
                            <w:t>xx.</w:t>
                          </w:r>
                        </w:p>
                      </w:txbxContent>
                    </wps:txbx>
                    <wps:bodyPr wrap="square" lIns="0" tIns="0" rIns="0" bIns="0" rtlCol="0">
                      <a:noAutofit/>
                    </wps:bodyPr>
                  </wps:wsp>
                </a:graphicData>
              </a:graphic>
            </wp:anchor>
          </w:drawing>
        </mc:Choice>
        <mc:Fallback>
          <w:pict>
            <v:shape style="position:absolute;margin-left:45.799999pt;margin-top:815.637817pt;width:184.3pt;height:9.75pt;mso-position-horizontal-relative:page;mso-position-vertical-relative:page;z-index:-16293888" type="#_x0000_t202" id="docshape9" filled="false" stroked="false">
              <v:textbox inset="0,0,0,0">
                <w:txbxContent>
                  <w:p>
                    <w:pPr>
                      <w:spacing w:before="13"/>
                      <w:ind w:left="20" w:right="0" w:firstLine="0"/>
                      <w:jc w:val="left"/>
                      <w:rPr>
                        <w:i/>
                        <w:sz w:val="14"/>
                      </w:rPr>
                    </w:pPr>
                    <w:r>
                      <w:rPr>
                        <w:i/>
                        <w:sz w:val="14"/>
                      </w:rPr>
                      <w:t>Journal</w:t>
                    </w:r>
                    <w:r>
                      <w:rPr>
                        <w:i/>
                        <w:spacing w:val="-4"/>
                        <w:sz w:val="14"/>
                      </w:rPr>
                      <w:t> </w:t>
                    </w:r>
                    <w:r>
                      <w:rPr>
                        <w:i/>
                        <w:sz w:val="14"/>
                      </w:rPr>
                      <w:t>of</w:t>
                    </w:r>
                    <w:r>
                      <w:rPr>
                        <w:i/>
                        <w:spacing w:val="-4"/>
                        <w:sz w:val="14"/>
                      </w:rPr>
                      <w:t> </w:t>
                    </w:r>
                    <w:r>
                      <w:rPr>
                        <w:i/>
                        <w:sz w:val="14"/>
                      </w:rPr>
                      <w:t>Computing</w:t>
                    </w:r>
                    <w:r>
                      <w:rPr>
                        <w:i/>
                        <w:spacing w:val="-4"/>
                        <w:sz w:val="14"/>
                      </w:rPr>
                      <w:t> </w:t>
                    </w:r>
                    <w:r>
                      <w:rPr>
                        <w:i/>
                        <w:sz w:val="14"/>
                      </w:rPr>
                      <w:t>and</w:t>
                    </w:r>
                    <w:r>
                      <w:rPr>
                        <w:i/>
                        <w:spacing w:val="-4"/>
                        <w:sz w:val="14"/>
                      </w:rPr>
                      <w:t> </w:t>
                    </w:r>
                    <w:r>
                      <w:rPr>
                        <w:i/>
                        <w:sz w:val="14"/>
                      </w:rPr>
                      <w:t>Numerical</w:t>
                    </w:r>
                    <w:r>
                      <w:rPr>
                        <w:i/>
                        <w:spacing w:val="-4"/>
                        <w:sz w:val="14"/>
                      </w:rPr>
                      <w:t> </w:t>
                    </w:r>
                    <w:r>
                      <w:rPr>
                        <w:i/>
                        <w:sz w:val="14"/>
                      </w:rPr>
                      <w:t>Sciences</w:t>
                    </w:r>
                    <w:r>
                      <w:rPr>
                        <w:i/>
                        <w:spacing w:val="-2"/>
                        <w:sz w:val="14"/>
                      </w:rPr>
                      <w:t> </w:t>
                    </w:r>
                    <w:r>
                      <w:rPr>
                        <w:i/>
                        <w:sz w:val="14"/>
                      </w:rPr>
                      <w:t>2026,</w:t>
                    </w:r>
                    <w:r>
                      <w:rPr>
                        <w:i/>
                        <w:spacing w:val="-2"/>
                        <w:sz w:val="14"/>
                      </w:rPr>
                      <w:t> </w:t>
                    </w:r>
                    <w:r>
                      <w:rPr>
                        <w:i/>
                        <w:sz w:val="14"/>
                      </w:rPr>
                      <w:t>1(1),</w:t>
                    </w:r>
                    <w:r>
                      <w:rPr>
                        <w:i/>
                        <w:spacing w:val="-3"/>
                        <w:sz w:val="14"/>
                      </w:rPr>
                      <w:t> </w:t>
                    </w:r>
                    <w:r>
                      <w:rPr>
                        <w:i/>
                        <w:sz w:val="14"/>
                      </w:rPr>
                      <w:t>xx-</w:t>
                    </w:r>
                    <w:r>
                      <w:rPr>
                        <w:i/>
                        <w:spacing w:val="-5"/>
                        <w:sz w:val="14"/>
                      </w:rPr>
                      <w:t>xx.</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23104">
              <wp:simplePos x="0" y="0"/>
              <wp:positionH relativeFrom="page">
                <wp:posOffset>6322314</wp:posOffset>
              </wp:positionH>
              <wp:positionV relativeFrom="page">
                <wp:posOffset>10358600</wp:posOffset>
              </wp:positionV>
              <wp:extent cx="657860" cy="12382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657860" cy="123825"/>
                      </a:xfrm>
                      <a:prstGeom prst="rect">
                        <a:avLst/>
                      </a:prstGeom>
                    </wps:spPr>
                    <wps:txbx>
                      <w:txbxContent>
                        <w:p>
                          <w:pPr>
                            <w:spacing w:before="13"/>
                            <w:ind w:left="20" w:right="0" w:firstLine="0"/>
                            <w:jc w:val="left"/>
                            <w:rPr>
                              <w:sz w:val="14"/>
                            </w:rPr>
                          </w:pPr>
                          <w:hyperlink r:id="rId1">
                            <w:r>
                              <w:rPr>
                                <w:spacing w:val="-2"/>
                                <w:sz w:val="14"/>
                              </w:rPr>
                              <w:t>https://jcns.gcwuf</w:t>
                            </w:r>
                          </w:hyperlink>
                        </w:p>
                      </w:txbxContent>
                    </wps:txbx>
                    <wps:bodyPr wrap="square" lIns="0" tIns="0" rIns="0" bIns="0" rtlCol="0">
                      <a:noAutofit/>
                    </wps:bodyPr>
                  </wps:wsp>
                </a:graphicData>
              </a:graphic>
            </wp:anchor>
          </w:drawing>
        </mc:Choice>
        <mc:Fallback>
          <w:pict>
            <v:shape style="position:absolute;margin-left:497.820007pt;margin-top:815.637817pt;width:51.8pt;height:9.75pt;mso-position-horizontal-relative:page;mso-position-vertical-relative:page;z-index:-16293376" type="#_x0000_t202" id="docshape10" filled="false" stroked="false">
              <v:textbox inset="0,0,0,0">
                <w:txbxContent>
                  <w:p>
                    <w:pPr>
                      <w:spacing w:before="13"/>
                      <w:ind w:left="20" w:right="0" w:firstLine="0"/>
                      <w:jc w:val="left"/>
                      <w:rPr>
                        <w:sz w:val="14"/>
                      </w:rPr>
                    </w:pPr>
                    <w:hyperlink r:id="rId1">
                      <w:r>
                        <w:rPr>
                          <w:spacing w:val="-2"/>
                          <w:sz w:val="14"/>
                        </w:rPr>
                        <w:t>https://jcns.gcwuf</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020544">
              <wp:simplePos x="0" y="0"/>
              <wp:positionH relativeFrom="page">
                <wp:posOffset>594347</wp:posOffset>
              </wp:positionH>
              <wp:positionV relativeFrom="page">
                <wp:posOffset>437387</wp:posOffset>
              </wp:positionV>
              <wp:extent cx="6375400" cy="762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6375400" cy="7620"/>
                      </a:xfrm>
                      <a:custGeom>
                        <a:avLst/>
                        <a:gdLst/>
                        <a:ahLst/>
                        <a:cxnLst/>
                        <a:rect l="l" t="t" r="r" b="b"/>
                        <a:pathLst>
                          <a:path w="6375400" h="7620">
                            <a:moveTo>
                              <a:pt x="6374905" y="0"/>
                            </a:moveTo>
                            <a:lnTo>
                              <a:pt x="4298581" y="0"/>
                            </a:lnTo>
                            <a:lnTo>
                              <a:pt x="0" y="0"/>
                            </a:lnTo>
                            <a:lnTo>
                              <a:pt x="12" y="7620"/>
                            </a:lnTo>
                            <a:lnTo>
                              <a:pt x="4298581" y="7620"/>
                            </a:lnTo>
                            <a:lnTo>
                              <a:pt x="6374905" y="7620"/>
                            </a:lnTo>
                            <a:lnTo>
                              <a:pt x="6374905"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style="position:absolute;margin-left:46.799004pt;margin-top:34.439953pt;width:502pt;height:.6pt;mso-position-horizontal-relative:page;mso-position-vertical-relative:page;z-index:-16295936" id="docshape5" coordorigin="936,689" coordsize="10040,12" path="m10975,689l7705,689,936,689,936,701,7705,701,10975,701,10975,689xe" filled="true" fillcolor="#54545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021056">
              <wp:simplePos x="0" y="0"/>
              <wp:positionH relativeFrom="page">
                <wp:posOffset>581659</wp:posOffset>
              </wp:positionH>
              <wp:positionV relativeFrom="page">
                <wp:posOffset>287978</wp:posOffset>
              </wp:positionV>
              <wp:extent cx="2378710" cy="13906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378710" cy="139065"/>
                      </a:xfrm>
                      <a:prstGeom prst="rect">
                        <a:avLst/>
                      </a:prstGeom>
                    </wps:spPr>
                    <wps:txbx>
                      <w:txbxContent>
                        <w:p>
                          <w:pPr>
                            <w:spacing w:before="14"/>
                            <w:ind w:left="20" w:right="0" w:firstLine="0"/>
                            <w:jc w:val="left"/>
                            <w:rPr>
                              <w:i/>
                              <w:sz w:val="16"/>
                            </w:rPr>
                          </w:pPr>
                          <w:r>
                            <w:rPr>
                              <w:i/>
                              <w:sz w:val="16"/>
                            </w:rPr>
                            <w:t>Journal</w:t>
                          </w:r>
                          <w:r>
                            <w:rPr>
                              <w:i/>
                              <w:spacing w:val="-7"/>
                              <w:sz w:val="16"/>
                            </w:rPr>
                            <w:t> </w:t>
                          </w:r>
                          <w:r>
                            <w:rPr>
                              <w:i/>
                              <w:sz w:val="16"/>
                            </w:rPr>
                            <w:t>of</w:t>
                          </w:r>
                          <w:r>
                            <w:rPr>
                              <w:i/>
                              <w:spacing w:val="-6"/>
                              <w:sz w:val="16"/>
                            </w:rPr>
                            <w:t> </w:t>
                          </w:r>
                          <w:r>
                            <w:rPr>
                              <w:i/>
                              <w:sz w:val="16"/>
                            </w:rPr>
                            <w:t>Computing</w:t>
                          </w:r>
                          <w:r>
                            <w:rPr>
                              <w:i/>
                              <w:spacing w:val="-6"/>
                              <w:sz w:val="16"/>
                            </w:rPr>
                            <w:t> </w:t>
                          </w:r>
                          <w:r>
                            <w:rPr>
                              <w:i/>
                              <w:sz w:val="16"/>
                            </w:rPr>
                            <w:t>and</w:t>
                          </w:r>
                          <w:r>
                            <w:rPr>
                              <w:i/>
                              <w:spacing w:val="-6"/>
                              <w:sz w:val="16"/>
                            </w:rPr>
                            <w:t> </w:t>
                          </w:r>
                          <w:r>
                            <w:rPr>
                              <w:i/>
                              <w:sz w:val="16"/>
                            </w:rPr>
                            <w:t>Numerical</w:t>
                          </w:r>
                          <w:r>
                            <w:rPr>
                              <w:i/>
                              <w:spacing w:val="-8"/>
                              <w:sz w:val="16"/>
                            </w:rPr>
                            <w:t> </w:t>
                          </w:r>
                          <w:r>
                            <w:rPr>
                              <w:i/>
                              <w:sz w:val="16"/>
                            </w:rPr>
                            <w:t>Sciences</w:t>
                          </w:r>
                          <w:r>
                            <w:rPr>
                              <w:i/>
                              <w:spacing w:val="-7"/>
                              <w:sz w:val="16"/>
                            </w:rPr>
                            <w:t> </w:t>
                          </w:r>
                          <w:r>
                            <w:rPr>
                              <w:i/>
                              <w:sz w:val="16"/>
                            </w:rPr>
                            <w:t>2026,</w:t>
                          </w:r>
                          <w:r>
                            <w:rPr>
                              <w:i/>
                              <w:spacing w:val="-6"/>
                              <w:sz w:val="16"/>
                            </w:rPr>
                            <w:t> </w:t>
                          </w:r>
                          <w:r>
                            <w:rPr>
                              <w:i/>
                              <w:spacing w:val="-4"/>
                              <w:sz w:val="16"/>
                            </w:rPr>
                            <w:t>1(1)</w:t>
                          </w:r>
                        </w:p>
                      </w:txbxContent>
                    </wps:txbx>
                    <wps:bodyPr wrap="square" lIns="0" tIns="0" rIns="0" bIns="0" rtlCol="0">
                      <a:noAutofit/>
                    </wps:bodyPr>
                  </wps:wsp>
                </a:graphicData>
              </a:graphic>
            </wp:anchor>
          </w:drawing>
        </mc:Choice>
        <mc:Fallback>
          <w:pict>
            <v:shape style="position:absolute;margin-left:45.799999pt;margin-top:22.675442pt;width:187.3pt;height:10.95pt;mso-position-horizontal-relative:page;mso-position-vertical-relative:page;z-index:-16295424" type="#_x0000_t202" id="docshape6" filled="false" stroked="false">
              <v:textbox inset="0,0,0,0">
                <w:txbxContent>
                  <w:p>
                    <w:pPr>
                      <w:spacing w:before="14"/>
                      <w:ind w:left="20" w:right="0" w:firstLine="0"/>
                      <w:jc w:val="left"/>
                      <w:rPr>
                        <w:i/>
                        <w:sz w:val="16"/>
                      </w:rPr>
                    </w:pPr>
                    <w:r>
                      <w:rPr>
                        <w:i/>
                        <w:sz w:val="16"/>
                      </w:rPr>
                      <w:t>Journal</w:t>
                    </w:r>
                    <w:r>
                      <w:rPr>
                        <w:i/>
                        <w:spacing w:val="-7"/>
                        <w:sz w:val="16"/>
                      </w:rPr>
                      <w:t> </w:t>
                    </w:r>
                    <w:r>
                      <w:rPr>
                        <w:i/>
                        <w:sz w:val="16"/>
                      </w:rPr>
                      <w:t>of</w:t>
                    </w:r>
                    <w:r>
                      <w:rPr>
                        <w:i/>
                        <w:spacing w:val="-6"/>
                        <w:sz w:val="16"/>
                      </w:rPr>
                      <w:t> </w:t>
                    </w:r>
                    <w:r>
                      <w:rPr>
                        <w:i/>
                        <w:sz w:val="16"/>
                      </w:rPr>
                      <w:t>Computing</w:t>
                    </w:r>
                    <w:r>
                      <w:rPr>
                        <w:i/>
                        <w:spacing w:val="-6"/>
                        <w:sz w:val="16"/>
                      </w:rPr>
                      <w:t> </w:t>
                    </w:r>
                    <w:r>
                      <w:rPr>
                        <w:i/>
                        <w:sz w:val="16"/>
                      </w:rPr>
                      <w:t>and</w:t>
                    </w:r>
                    <w:r>
                      <w:rPr>
                        <w:i/>
                        <w:spacing w:val="-6"/>
                        <w:sz w:val="16"/>
                      </w:rPr>
                      <w:t> </w:t>
                    </w:r>
                    <w:r>
                      <w:rPr>
                        <w:i/>
                        <w:sz w:val="16"/>
                      </w:rPr>
                      <w:t>Numerical</w:t>
                    </w:r>
                    <w:r>
                      <w:rPr>
                        <w:i/>
                        <w:spacing w:val="-8"/>
                        <w:sz w:val="16"/>
                      </w:rPr>
                      <w:t> </w:t>
                    </w:r>
                    <w:r>
                      <w:rPr>
                        <w:i/>
                        <w:sz w:val="16"/>
                      </w:rPr>
                      <w:t>Sciences</w:t>
                    </w:r>
                    <w:r>
                      <w:rPr>
                        <w:i/>
                        <w:spacing w:val="-7"/>
                        <w:sz w:val="16"/>
                      </w:rPr>
                      <w:t> </w:t>
                    </w:r>
                    <w:r>
                      <w:rPr>
                        <w:i/>
                        <w:sz w:val="16"/>
                      </w:rPr>
                      <w:t>2026,</w:t>
                    </w:r>
                    <w:r>
                      <w:rPr>
                        <w:i/>
                        <w:spacing w:val="-6"/>
                        <w:sz w:val="16"/>
                      </w:rPr>
                      <w:t> </w:t>
                    </w:r>
                    <w:r>
                      <w:rPr>
                        <w:i/>
                        <w:spacing w:val="-4"/>
                        <w:sz w:val="16"/>
                      </w:rPr>
                      <w:t>1(1)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21568">
              <wp:simplePos x="0" y="0"/>
              <wp:positionH relativeFrom="page">
                <wp:posOffset>6693154</wp:posOffset>
              </wp:positionH>
              <wp:positionV relativeFrom="page">
                <wp:posOffset>287978</wp:posOffset>
              </wp:positionV>
              <wp:extent cx="289560" cy="13906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89560" cy="139065"/>
                      </a:xfrm>
                      <a:prstGeom prst="rect">
                        <a:avLst/>
                      </a:prstGeom>
                    </wps:spPr>
                    <wps:txbx>
                      <w:txbxContent>
                        <w:p>
                          <w:pPr>
                            <w:spacing w:before="14"/>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z w:val="16"/>
                            </w:rPr>
                            <w:t> of </w:t>
                          </w:r>
                          <w:r>
                            <w:rPr>
                              <w:spacing w:val="-10"/>
                              <w:sz w:val="16"/>
                            </w:rPr>
                            <w:fldChar w:fldCharType="begin"/>
                          </w:r>
                          <w:r>
                            <w:rPr>
                              <w:spacing w:val="-10"/>
                              <w:sz w:val="16"/>
                            </w:rPr>
                            <w:instrText> NUMPAGES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27.020020pt;margin-top:22.675442pt;width:22.8pt;height:10.95pt;mso-position-horizontal-relative:page;mso-position-vertical-relative:page;z-index:-16294912" type="#_x0000_t202" id="docshape7" filled="false" stroked="false">
              <v:textbox inset="0,0,0,0">
                <w:txbxContent>
                  <w:p>
                    <w:pPr>
                      <w:spacing w:before="14"/>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z w:val="16"/>
                      </w:rPr>
                      <w:t> of </w:t>
                    </w:r>
                    <w:r>
                      <w:rPr>
                        <w:spacing w:val="-10"/>
                        <w:sz w:val="16"/>
                      </w:rPr>
                      <w:fldChar w:fldCharType="begin"/>
                    </w:r>
                    <w:r>
                      <w:rPr>
                        <w:spacing w:val="-10"/>
                        <w:sz w:val="16"/>
                      </w:rPr>
                      <w:instrText> NUMPAGES </w:instrText>
                    </w:r>
                    <w:r>
                      <w:rPr>
                        <w:spacing w:val="-10"/>
                        <w:sz w:val="16"/>
                      </w:rPr>
                      <w:fldChar w:fldCharType="separate"/>
                    </w:r>
                    <w:r>
                      <w:rPr>
                        <w:spacing w:val="-10"/>
                        <w:sz w:val="16"/>
                      </w:rPr>
                      <w:t>7</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67" w:hanging="221"/>
        <w:jc w:val="right"/>
      </w:pPr>
      <w:rPr>
        <w:rFonts w:hint="default" w:ascii="Times New Roman" w:hAnsi="Times New Roman" w:eastAsia="Times New Roman" w:cs="Times New Roman"/>
        <w:b/>
        <w:bCs/>
        <w:i w:val="0"/>
        <w:iCs w:val="0"/>
        <w:spacing w:val="0"/>
        <w:w w:val="100"/>
        <w:sz w:val="22"/>
        <w:szCs w:val="22"/>
        <w:lang w:val="en-US" w:eastAsia="en-US" w:bidi="ar-SA"/>
      </w:rPr>
    </w:lvl>
    <w:lvl w:ilvl="1">
      <w:start w:val="1"/>
      <w:numFmt w:val="decimal"/>
      <w:lvlText w:val="%1.%2."/>
      <w:lvlJc w:val="left"/>
      <w:pPr>
        <w:ind w:left="721" w:hanging="352"/>
        <w:jc w:val="left"/>
      </w:pPr>
      <w:rPr>
        <w:rFonts w:hint="default" w:ascii="Times New Roman" w:hAnsi="Times New Roman" w:eastAsia="Times New Roman" w:cs="Times New Roman"/>
        <w:b/>
        <w:bCs/>
        <w:i w:val="0"/>
        <w:iCs w:val="0"/>
        <w:spacing w:val="0"/>
        <w:w w:val="99"/>
        <w:sz w:val="20"/>
        <w:szCs w:val="20"/>
        <w:lang w:val="en-US" w:eastAsia="en-US" w:bidi="ar-SA"/>
      </w:rPr>
    </w:lvl>
    <w:lvl w:ilvl="2">
      <w:start w:val="0"/>
      <w:numFmt w:val="bullet"/>
      <w:lvlText w:val="•"/>
      <w:lvlJc w:val="left"/>
      <w:pPr>
        <w:ind w:left="1573" w:hanging="352"/>
      </w:pPr>
      <w:rPr>
        <w:rFonts w:hint="default"/>
        <w:lang w:val="en-US" w:eastAsia="en-US" w:bidi="ar-SA"/>
      </w:rPr>
    </w:lvl>
    <w:lvl w:ilvl="3">
      <w:start w:val="0"/>
      <w:numFmt w:val="bullet"/>
      <w:lvlText w:val="•"/>
      <w:lvlJc w:val="left"/>
      <w:pPr>
        <w:ind w:left="2426" w:hanging="352"/>
      </w:pPr>
      <w:rPr>
        <w:rFonts w:hint="default"/>
        <w:lang w:val="en-US" w:eastAsia="en-US" w:bidi="ar-SA"/>
      </w:rPr>
    </w:lvl>
    <w:lvl w:ilvl="4">
      <w:start w:val="0"/>
      <w:numFmt w:val="bullet"/>
      <w:lvlText w:val="•"/>
      <w:lvlJc w:val="left"/>
      <w:pPr>
        <w:ind w:left="3280" w:hanging="352"/>
      </w:pPr>
      <w:rPr>
        <w:rFonts w:hint="default"/>
        <w:lang w:val="en-US" w:eastAsia="en-US" w:bidi="ar-SA"/>
      </w:rPr>
    </w:lvl>
    <w:lvl w:ilvl="5">
      <w:start w:val="0"/>
      <w:numFmt w:val="bullet"/>
      <w:lvlText w:val="•"/>
      <w:lvlJc w:val="left"/>
      <w:pPr>
        <w:ind w:left="4133" w:hanging="352"/>
      </w:pPr>
      <w:rPr>
        <w:rFonts w:hint="default"/>
        <w:lang w:val="en-US" w:eastAsia="en-US" w:bidi="ar-SA"/>
      </w:rPr>
    </w:lvl>
    <w:lvl w:ilvl="6">
      <w:start w:val="0"/>
      <w:numFmt w:val="bullet"/>
      <w:lvlText w:val="•"/>
      <w:lvlJc w:val="left"/>
      <w:pPr>
        <w:ind w:left="4987" w:hanging="352"/>
      </w:pPr>
      <w:rPr>
        <w:rFonts w:hint="default"/>
        <w:lang w:val="en-US" w:eastAsia="en-US" w:bidi="ar-SA"/>
      </w:rPr>
    </w:lvl>
    <w:lvl w:ilvl="7">
      <w:start w:val="0"/>
      <w:numFmt w:val="bullet"/>
      <w:lvlText w:val="•"/>
      <w:lvlJc w:val="left"/>
      <w:pPr>
        <w:ind w:left="5840" w:hanging="352"/>
      </w:pPr>
      <w:rPr>
        <w:rFonts w:hint="default"/>
        <w:lang w:val="en-US" w:eastAsia="en-US" w:bidi="ar-SA"/>
      </w:rPr>
    </w:lvl>
    <w:lvl w:ilvl="8">
      <w:start w:val="0"/>
      <w:numFmt w:val="bullet"/>
      <w:lvlText w:val="•"/>
      <w:lvlJc w:val="left"/>
      <w:pPr>
        <w:ind w:left="6693" w:hanging="352"/>
      </w:pPr>
      <w:rPr>
        <w:rFonts w:hint="default"/>
        <w:lang w:val="en-US" w:eastAsia="en-US" w:bidi="ar-SA"/>
      </w:rPr>
    </w:lvl>
  </w:abstractNum>
  <w:abstractNum w:abstractNumId="0">
    <w:multiLevelType w:val="hybridMultilevel"/>
    <w:lvl w:ilvl="0">
      <w:start w:val="1"/>
      <w:numFmt w:val="decimal"/>
      <w:lvlText w:val="%1"/>
      <w:lvlJc w:val="left"/>
      <w:pPr>
        <w:ind w:left="2963" w:hanging="361"/>
        <w:jc w:val="left"/>
      </w:pPr>
      <w:rPr>
        <w:rFonts w:hint="default"/>
        <w:spacing w:val="0"/>
        <w:w w:val="100"/>
        <w:lang w:val="en-US" w:eastAsia="en-US" w:bidi="ar-SA"/>
      </w:rPr>
    </w:lvl>
    <w:lvl w:ilvl="1">
      <w:start w:val="0"/>
      <w:numFmt w:val="bullet"/>
      <w:lvlText w:val="•"/>
      <w:lvlJc w:val="left"/>
      <w:pPr>
        <w:ind w:left="3741" w:hanging="361"/>
      </w:pPr>
      <w:rPr>
        <w:rFonts w:hint="default"/>
        <w:lang w:val="en-US" w:eastAsia="en-US" w:bidi="ar-SA"/>
      </w:rPr>
    </w:lvl>
    <w:lvl w:ilvl="2">
      <w:start w:val="0"/>
      <w:numFmt w:val="bullet"/>
      <w:lvlText w:val="•"/>
      <w:lvlJc w:val="left"/>
      <w:pPr>
        <w:ind w:left="4523" w:hanging="361"/>
      </w:pPr>
      <w:rPr>
        <w:rFonts w:hint="default"/>
        <w:lang w:val="en-US" w:eastAsia="en-US" w:bidi="ar-SA"/>
      </w:rPr>
    </w:lvl>
    <w:lvl w:ilvl="3">
      <w:start w:val="0"/>
      <w:numFmt w:val="bullet"/>
      <w:lvlText w:val="•"/>
      <w:lvlJc w:val="left"/>
      <w:pPr>
        <w:ind w:left="5305" w:hanging="361"/>
      </w:pPr>
      <w:rPr>
        <w:rFonts w:hint="default"/>
        <w:lang w:val="en-US" w:eastAsia="en-US" w:bidi="ar-SA"/>
      </w:rPr>
    </w:lvl>
    <w:lvl w:ilvl="4">
      <w:start w:val="0"/>
      <w:numFmt w:val="bullet"/>
      <w:lvlText w:val="•"/>
      <w:lvlJc w:val="left"/>
      <w:pPr>
        <w:ind w:left="6086" w:hanging="361"/>
      </w:pPr>
      <w:rPr>
        <w:rFonts w:hint="default"/>
        <w:lang w:val="en-US" w:eastAsia="en-US" w:bidi="ar-SA"/>
      </w:rPr>
    </w:lvl>
    <w:lvl w:ilvl="5">
      <w:start w:val="0"/>
      <w:numFmt w:val="bullet"/>
      <w:lvlText w:val="•"/>
      <w:lvlJc w:val="left"/>
      <w:pPr>
        <w:ind w:left="6868" w:hanging="361"/>
      </w:pPr>
      <w:rPr>
        <w:rFonts w:hint="default"/>
        <w:lang w:val="en-US" w:eastAsia="en-US" w:bidi="ar-SA"/>
      </w:rPr>
    </w:lvl>
    <w:lvl w:ilvl="6">
      <w:start w:val="0"/>
      <w:numFmt w:val="bullet"/>
      <w:lvlText w:val="•"/>
      <w:lvlJc w:val="left"/>
      <w:pPr>
        <w:ind w:left="7650" w:hanging="361"/>
      </w:pPr>
      <w:rPr>
        <w:rFonts w:hint="default"/>
        <w:lang w:val="en-US" w:eastAsia="en-US" w:bidi="ar-SA"/>
      </w:rPr>
    </w:lvl>
    <w:lvl w:ilvl="7">
      <w:start w:val="0"/>
      <w:numFmt w:val="bullet"/>
      <w:lvlText w:val="•"/>
      <w:lvlJc w:val="left"/>
      <w:pPr>
        <w:ind w:left="8431" w:hanging="361"/>
      </w:pPr>
      <w:rPr>
        <w:rFonts w:hint="default"/>
        <w:lang w:val="en-US" w:eastAsia="en-US" w:bidi="ar-SA"/>
      </w:rPr>
    </w:lvl>
    <w:lvl w:ilvl="8">
      <w:start w:val="0"/>
      <w:numFmt w:val="bullet"/>
      <w:lvlText w:val="•"/>
      <w:lvlJc w:val="left"/>
      <w:pPr>
        <w:ind w:left="9213"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9" w:firstLine="360"/>
      <w:jc w:val="both"/>
    </w:pPr>
    <w:rPr>
      <w:rFonts w:ascii="Times New Roman" w:hAnsi="Times New Roman" w:eastAsia="Times New Roman" w:cs="Times New Roman"/>
      <w:sz w:val="18"/>
      <w:szCs w:val="18"/>
      <w:lang w:val="en-US" w:eastAsia="en-US" w:bidi="ar-SA"/>
    </w:rPr>
  </w:style>
  <w:style w:styleId="Heading1" w:type="paragraph">
    <w:name w:val="Heading 1"/>
    <w:basedOn w:val="Normal"/>
    <w:uiPriority w:val="1"/>
    <w:qFormat/>
    <w:pPr>
      <w:spacing w:before="19"/>
      <w:ind w:left="81" w:right="363"/>
      <w:outlineLvl w:val="1"/>
    </w:pPr>
    <w:rPr>
      <w:rFonts w:ascii="Times New Roman" w:hAnsi="Times New Roman" w:eastAsia="Times New Roman" w:cs="Times New Roman"/>
      <w:b/>
      <w:bCs/>
      <w:sz w:val="37"/>
      <w:szCs w:val="37"/>
      <w:lang w:val="en-US" w:eastAsia="en-US" w:bidi="ar-SA"/>
    </w:rPr>
  </w:style>
  <w:style w:styleId="Heading2" w:type="paragraph">
    <w:name w:val="Heading 2"/>
    <w:basedOn w:val="Normal"/>
    <w:uiPriority w:val="1"/>
    <w:qFormat/>
    <w:pPr>
      <w:spacing w:before="142"/>
      <w:ind w:left="589" w:hanging="220"/>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spacing w:before="100"/>
      <w:ind w:left="719" w:hanging="350"/>
      <w:jc w:val="both"/>
      <w:outlineLvl w:val="3"/>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ind w:left="719" w:hanging="35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4"/>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jcns.gcwuf/" TargetMode="External"/><Relationship Id="rId8" Type="http://schemas.openxmlformats.org/officeDocument/2006/relationships/image" Target="media/image2.png"/><Relationship Id="rId9" Type="http://schemas.openxmlformats.org/officeDocument/2006/relationships/hyperlink" Target="mailto:mali@eu.edu.sa" TargetMode="External"/><Relationship Id="rId10" Type="http://schemas.openxmlformats.org/officeDocument/2006/relationships/image" Target="media/image3.jpeg"/><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image" Target="media/image4.png"/><Relationship Id="rId14" Type="http://schemas.openxmlformats.org/officeDocument/2006/relationships/hyperlink" Target="https://www.ifrs.org/" TargetMode="External"/><Relationship Id="rId15" Type="http://schemas.openxmlformats.org/officeDocument/2006/relationships/hyperlink" Target="https://doi.org/10.56293/IJMSSSR.2022.4575" TargetMode="Externa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jcns.gcwu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cns.gcwu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Egbere Michael Ikechukwu;Ajayi, Tijjani Ahmed</dc:creator>
  <cp:keywords>Value Relevance, Free Cash Flow, Capital Expenditure to Cash Flow, Operating Cash Flow, Consumer Goods Sector, Nigerian Exchange Group.</cp:keywords>
  <dc:subject>Article formatted in the Journal of Computing and Numerical Sciences template</dc:subject>
  <dc:title>CASH FLOW ACCOUNTING REPORTING AND MARKET VALUATION OF SELECTED MULTINATIONAL COMPANIES IN SEVEN SUB-SAHARAN AFRICAN COUNTRIES</dc:title>
  <dcterms:created xsi:type="dcterms:W3CDTF">2026-07-22T04:27:51Z</dcterms:created>
  <dcterms:modified xsi:type="dcterms:W3CDTF">2026-07-22T04:27:51Z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2026-07-18T00:00:00Z</vt:filetime>
  </property>
  <property fmtid="{D5CDD505-2E9C-101B-9397-08002B2CF9AE}" pid="4" name="Creator">
    <vt:lpwstr>Microsoft® Word LTSC</vt:lpwstr>
  </property>
  <property fmtid="{D5CDD505-2E9C-101B-9397-08002B2CF9AE}" pid="5" name="LastSaved">
    <vt:filetime>2026-07-22T00:00:00Z</vt:filetime>
  </property>
  <property fmtid="{D5CDD505-2E9C-101B-9397-08002B2CF9AE}" pid="6" name="Producer">
    <vt:lpwstr>Microsoft® Word LTSC</vt:lpwstr>
  </property>
</Properties>
</file>